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3"/>
        <w:jc w:val="center"/>
        <w:rPr>
          <w:b/>
          <w:sz w:val="44"/>
        </w:rPr>
      </w:pPr>
      <w:r>
        <w:rPr>
          <w:b/>
          <w:sz w:val="44"/>
        </w:rPr>
        <w:t>宁波市村庄规划管理规定</w:t>
      </w:r>
    </w:p>
    <w:p>
      <w:pPr>
        <w:jc w:val="center"/>
      </w:pPr>
      <w:r>
        <w:rPr>
          <w:rFonts w:hint="eastAsia"/>
        </w:rPr>
        <w:t>（征求意见稿</w:t>
      </w:r>
      <w:r>
        <w:rPr>
          <w:rFonts w:hint="eastAsia"/>
          <w:lang w:val="en-US" w:eastAsia="zh-CN"/>
        </w:rPr>
        <w:t xml:space="preserve"> 2024.7.18</w:t>
      </w:r>
      <w:r>
        <w:rPr>
          <w:rFonts w:hint="eastAsia"/>
        </w:rPr>
        <w:t>）</w:t>
      </w:r>
    </w:p>
    <w:p>
      <w:pPr>
        <w:pStyle w:val="2"/>
        <w:spacing w:before="120" w:after="120"/>
        <w:rPr>
          <w:rFonts w:ascii="宋体" w:hAnsi="宋体" w:eastAsia="宋体"/>
          <w:b/>
        </w:rPr>
      </w:pPr>
      <w:bookmarkStart w:id="0" w:name="_Toc151023005"/>
      <w:bookmarkStart w:id="19" w:name="_GoBack"/>
      <w:r>
        <w:rPr>
          <w:rFonts w:ascii="宋体" w:hAnsi="宋体" w:eastAsia="宋体"/>
          <w:b/>
        </w:rPr>
        <w:t>第一章</w:t>
      </w:r>
      <w:r>
        <w:rPr>
          <w:rFonts w:ascii="宋体" w:hAnsi="宋体" w:eastAsia="宋体" w:cs="Calibri"/>
          <w:b/>
        </w:rPr>
        <w:t xml:space="preserve"> </w:t>
      </w:r>
      <w:r>
        <w:rPr>
          <w:rFonts w:ascii="宋体" w:hAnsi="宋体" w:eastAsia="宋体"/>
          <w:b/>
        </w:rPr>
        <w:t>总</w:t>
      </w:r>
      <w:r>
        <w:rPr>
          <w:rFonts w:ascii="宋体" w:hAnsi="宋体" w:eastAsia="宋体" w:cs="Calibri"/>
          <w:b/>
        </w:rPr>
        <w:t xml:space="preserve"> </w:t>
      </w:r>
      <w:r>
        <w:rPr>
          <w:rFonts w:ascii="宋体" w:hAnsi="宋体" w:eastAsia="宋体"/>
          <w:b/>
        </w:rPr>
        <w:t>则</w:t>
      </w:r>
      <w:bookmarkEnd w:id="0"/>
      <w:r>
        <w:rPr>
          <w:rFonts w:ascii="宋体" w:hAnsi="宋体" w:eastAsia="宋体" w:cs="Calibri"/>
          <w:b/>
        </w:rPr>
        <w:t xml:space="preserve"> </w:t>
      </w:r>
    </w:p>
    <w:bookmarkEnd w:id="19"/>
    <w:p>
      <w:pPr>
        <w:pStyle w:val="21"/>
        <w:rPr>
          <w:rFonts w:ascii="宋体" w:hAnsi="宋体" w:eastAsia="宋体"/>
          <w:b/>
        </w:rPr>
      </w:pPr>
      <w:bookmarkStart w:id="1" w:name="_Toc134476292"/>
      <w:bookmarkStart w:id="2" w:name="_Toc151023006"/>
      <w:r>
        <w:rPr>
          <w:rFonts w:hint="eastAsia" w:ascii="宋体" w:hAnsi="宋体" w:eastAsia="宋体"/>
          <w:b/>
        </w:rPr>
        <w:t>（编制目的）</w:t>
      </w:r>
      <w:bookmarkEnd w:id="1"/>
    </w:p>
    <w:p>
      <w:r>
        <w:rPr>
          <w:rFonts w:hint="eastAsia"/>
        </w:rPr>
        <w:t>为加强宁波市村庄规划管理，引领宜居宜业和美乡村建设、推进乡村全面振兴，根据有关法律、法规，国家、省、市相关政策文件，结合本市实际，制定本规定。</w:t>
      </w:r>
    </w:p>
    <w:bookmarkEnd w:id="2"/>
    <w:p>
      <w:pPr>
        <w:pStyle w:val="21"/>
        <w:rPr>
          <w:rFonts w:ascii="宋体" w:hAnsi="宋体" w:eastAsia="宋体" w:cs="Calibri"/>
          <w:b/>
        </w:rPr>
      </w:pPr>
      <w:bookmarkStart w:id="3" w:name="_Toc151023007"/>
      <w:r>
        <w:rPr>
          <w:rFonts w:ascii="宋体" w:hAnsi="宋体" w:eastAsia="宋体"/>
          <w:b/>
        </w:rPr>
        <w:t>（</w:t>
      </w:r>
      <w:r>
        <w:rPr>
          <w:rFonts w:hint="eastAsia" w:ascii="宋体" w:hAnsi="宋体" w:eastAsia="宋体"/>
          <w:b/>
        </w:rPr>
        <w:t>适用对象）</w:t>
      </w:r>
      <w:bookmarkEnd w:id="3"/>
      <w:r>
        <w:rPr>
          <w:rFonts w:ascii="宋体" w:hAnsi="宋体" w:eastAsia="宋体"/>
          <w:b/>
        </w:rPr>
        <w:t xml:space="preserve"> </w:t>
      </w:r>
      <w:r>
        <w:rPr>
          <w:rFonts w:ascii="宋体" w:hAnsi="宋体" w:eastAsia="宋体" w:cs="Calibri"/>
          <w:b/>
          <w:sz w:val="22"/>
        </w:rPr>
        <w:tab/>
      </w:r>
      <w:r>
        <w:rPr>
          <w:rFonts w:ascii="宋体" w:hAnsi="宋体" w:eastAsia="宋体" w:cs="Calibri"/>
          <w:b/>
        </w:rPr>
        <w:t xml:space="preserve"> </w:t>
      </w:r>
    </w:p>
    <w:p>
      <w:r>
        <w:rPr>
          <w:rFonts w:hint="eastAsia"/>
        </w:rPr>
        <w:t>本规定适用于本市行政区域内村庄规划的编制、审批、修改、实施和监督管理。</w:t>
      </w:r>
    </w:p>
    <w:p>
      <w:pPr>
        <w:pStyle w:val="21"/>
        <w:rPr>
          <w:rFonts w:ascii="宋体" w:hAnsi="宋体" w:eastAsia="宋体"/>
        </w:rPr>
      </w:pPr>
      <w:bookmarkStart w:id="4" w:name="_Toc151023008"/>
      <w:r>
        <w:rPr>
          <w:rFonts w:hint="eastAsia" w:ascii="宋体" w:hAnsi="宋体" w:eastAsia="宋体"/>
          <w:b/>
        </w:rPr>
        <w:t>（规划作用）</w:t>
      </w:r>
      <w:bookmarkEnd w:id="4"/>
      <w:r>
        <w:rPr>
          <w:rFonts w:ascii="宋体" w:hAnsi="宋体" w:eastAsia="宋体"/>
        </w:rPr>
        <w:t xml:space="preserve"> </w:t>
      </w:r>
      <w:r>
        <w:rPr>
          <w:rFonts w:ascii="宋体" w:hAnsi="宋体" w:eastAsia="宋体"/>
        </w:rPr>
        <w:tab/>
      </w:r>
    </w:p>
    <w:p>
      <w:r>
        <w:rPr>
          <w:rFonts w:hint="eastAsia"/>
        </w:rPr>
        <w:t>经依法批准的村庄规划是乡村地区开展国土空间开发保护活动、实施国土空间用途管制、核发城乡建设项目规划许可、进行各项建设等的法定依据。</w:t>
      </w:r>
    </w:p>
    <w:p>
      <w:pPr>
        <w:pStyle w:val="21"/>
        <w:rPr>
          <w:rFonts w:ascii="宋体" w:hAnsi="宋体" w:eastAsia="宋体"/>
          <w:b/>
        </w:rPr>
      </w:pPr>
      <w:bookmarkStart w:id="5" w:name="_Toc151023009"/>
      <w:r>
        <w:rPr>
          <w:rFonts w:ascii="宋体" w:hAnsi="宋体" w:eastAsia="宋体"/>
          <w:b/>
        </w:rPr>
        <w:t>（部门职责）</w:t>
      </w:r>
      <w:bookmarkEnd w:id="5"/>
      <w:r>
        <w:rPr>
          <w:rFonts w:ascii="宋体" w:hAnsi="宋体" w:eastAsia="宋体"/>
          <w:b/>
        </w:rPr>
        <w:t xml:space="preserve"> </w:t>
      </w:r>
    </w:p>
    <w:p>
      <w:r>
        <w:t>市</w:t>
      </w:r>
      <w:r>
        <w:rPr>
          <w:rFonts w:hint="eastAsia"/>
        </w:rPr>
        <w:t>和区（</w:t>
      </w:r>
      <w:r>
        <w:t>县</w:t>
      </w:r>
      <w:r>
        <w:rPr>
          <w:rFonts w:hint="eastAsia"/>
        </w:rPr>
        <w:t>、</w:t>
      </w:r>
      <w:r>
        <w:t>市）</w:t>
      </w:r>
      <w:r>
        <w:rPr>
          <w:rFonts w:hint="eastAsia"/>
        </w:rPr>
        <w:t>自然资源和规划部门负责</w:t>
      </w:r>
      <w:r>
        <w:t>本行政区域</w:t>
      </w:r>
      <w:r>
        <w:rPr>
          <w:rFonts w:hint="eastAsia"/>
        </w:rPr>
        <w:t>村庄规划管理工作。镇（乡）人民政府、街道办事处负责组织村庄规划编制。市和区（县、市）两级发展改革、生态环境、建设、交通运输、水利、农业农村、文化和旅游等有关部门按照各自职责，共同做好村庄规划管理的相关工作。</w:t>
      </w:r>
    </w:p>
    <w:p>
      <w:pPr>
        <w:pStyle w:val="2"/>
        <w:spacing w:before="120" w:after="120"/>
        <w:rPr>
          <w:rFonts w:ascii="宋体" w:hAnsi="宋体" w:eastAsia="宋体"/>
          <w:b/>
        </w:rPr>
      </w:pPr>
      <w:bookmarkStart w:id="6" w:name="_Toc151023010"/>
      <w:r>
        <w:rPr>
          <w:rFonts w:ascii="宋体" w:hAnsi="宋体" w:eastAsia="宋体"/>
          <w:b/>
        </w:rPr>
        <w:t>第二章 村庄规划的编制</w:t>
      </w:r>
      <w:bookmarkEnd w:id="6"/>
      <w:r>
        <w:rPr>
          <w:rFonts w:ascii="宋体" w:hAnsi="宋体" w:eastAsia="宋体"/>
          <w:b/>
        </w:rPr>
        <w:t xml:space="preserve"> </w:t>
      </w:r>
    </w:p>
    <w:p>
      <w:pPr>
        <w:pStyle w:val="21"/>
        <w:rPr>
          <w:rFonts w:ascii="宋体" w:hAnsi="宋体" w:eastAsia="宋体"/>
          <w:b/>
        </w:rPr>
      </w:pPr>
      <w:r>
        <w:rPr>
          <w:rFonts w:ascii="宋体" w:hAnsi="宋体" w:eastAsia="宋体"/>
          <w:b/>
        </w:rPr>
        <w:t>（</w:t>
      </w:r>
      <w:r>
        <w:rPr>
          <w:rFonts w:hint="eastAsia" w:ascii="宋体" w:hAnsi="宋体" w:eastAsia="宋体"/>
          <w:b/>
        </w:rPr>
        <w:t>基本原则</w:t>
      </w:r>
      <w:r>
        <w:rPr>
          <w:rFonts w:ascii="宋体" w:hAnsi="宋体" w:eastAsia="宋体"/>
          <w:b/>
        </w:rPr>
        <w:t>）</w:t>
      </w:r>
    </w:p>
    <w:p>
      <w:r>
        <w:rPr>
          <w:rFonts w:hint="eastAsia"/>
        </w:rPr>
        <w:t>编制村庄规划，应坚持落实上位规划、加强县域统筹、按需分类编制、发掘地域特色、成果实用高效、引导村民参与的基本原则，统筹生产、生活、生态和安全功能需求，落实国土空间总体规划战略目标、底线管控、功能布局、空间结构、资源利用等要求，确保规划务实、管用、可操作、能落地。</w:t>
      </w:r>
    </w:p>
    <w:p>
      <w:pPr>
        <w:pStyle w:val="21"/>
        <w:rPr>
          <w:rFonts w:ascii="宋体" w:hAnsi="宋体" w:eastAsia="宋体"/>
          <w:b/>
        </w:rPr>
      </w:pPr>
      <w:r>
        <w:rPr>
          <w:rFonts w:ascii="宋体" w:hAnsi="宋体" w:eastAsia="宋体"/>
          <w:b/>
        </w:rPr>
        <w:t>（</w:t>
      </w:r>
      <w:r>
        <w:rPr>
          <w:rFonts w:hint="eastAsia" w:ascii="宋体" w:hAnsi="宋体" w:eastAsia="宋体"/>
          <w:b/>
        </w:rPr>
        <w:t>编制范围</w:t>
      </w:r>
      <w:r>
        <w:rPr>
          <w:rFonts w:ascii="宋体" w:hAnsi="宋体" w:eastAsia="宋体"/>
          <w:b/>
        </w:rPr>
        <w:t xml:space="preserve">） </w:t>
      </w:r>
    </w:p>
    <w:p>
      <w:r>
        <w:rPr>
          <w:rFonts w:hint="eastAsia"/>
        </w:rPr>
        <w:t>村庄规划编制时，应当统筹考虑行政区划、自然地形、交通路网等因素，编制范围可以以行政村为单元进行编制，也可以以跨若干行政村的特定区域为单元进行编制。</w:t>
      </w:r>
    </w:p>
    <w:p>
      <w:pPr>
        <w:pStyle w:val="21"/>
        <w:rPr>
          <w:rFonts w:ascii="宋体" w:hAnsi="宋体" w:eastAsia="宋体"/>
          <w:b/>
        </w:rPr>
      </w:pPr>
      <w:r>
        <w:rPr>
          <w:rFonts w:ascii="宋体" w:hAnsi="宋体" w:eastAsia="宋体"/>
          <w:b/>
        </w:rPr>
        <w:t>（</w:t>
      </w:r>
      <w:r>
        <w:rPr>
          <w:rFonts w:hint="eastAsia" w:ascii="宋体" w:hAnsi="宋体" w:eastAsia="宋体"/>
          <w:b/>
        </w:rPr>
        <w:t>编制类型</w:t>
      </w:r>
      <w:r>
        <w:rPr>
          <w:rFonts w:ascii="宋体" w:hAnsi="宋体" w:eastAsia="宋体"/>
          <w:b/>
        </w:rPr>
        <w:t>）</w:t>
      </w:r>
    </w:p>
    <w:p>
      <w:pPr>
        <w:rPr>
          <w:rFonts w:hint="eastAsia"/>
        </w:rPr>
      </w:pPr>
      <w:r>
        <w:rPr>
          <w:rFonts w:hint="eastAsia"/>
        </w:rPr>
        <w:t>村庄规划按照全本和简本两种类型编制，成果分管理者层面（政府）和使用者层面（村民）两套，管理者层面成果是文本、图纸和数据库。使用者层面成果是</w:t>
      </w:r>
      <w:r>
        <w:rPr>
          <w:rFonts w:hint="default"/>
        </w:rPr>
        <w:t>一文</w:t>
      </w:r>
      <w:r>
        <w:rPr>
          <w:rFonts w:hint="eastAsia"/>
        </w:rPr>
        <w:t>一图</w:t>
      </w:r>
      <w:r>
        <w:rPr>
          <w:rFonts w:hint="default"/>
        </w:rPr>
        <w:t>一表</w:t>
      </w:r>
      <w:r>
        <w:rPr>
          <w:rFonts w:hint="eastAsia"/>
        </w:rPr>
        <w:t>读懂村庄规划。</w:t>
      </w:r>
    </w:p>
    <w:p>
      <w:pPr>
        <w:rPr>
          <w:rFonts w:hint="eastAsia"/>
        </w:rPr>
      </w:pPr>
      <w:r>
        <w:rPr>
          <w:rFonts w:hint="eastAsia"/>
        </w:rPr>
        <w:t>村庄规划全本适用于需要对村庄建设进行系统谋划和保障的村庄，包括指导未来乡村建设、优化村域用地布局、保障乡村产业项目用地、指导土地综合整治、指导公共服务和公用设施配套等建设需求。</w:t>
      </w:r>
    </w:p>
    <w:p>
      <w:pPr>
        <w:rPr>
          <w:rFonts w:hint="eastAsia"/>
        </w:rPr>
      </w:pPr>
      <w:r>
        <w:rPr>
          <w:rFonts w:hint="eastAsia"/>
        </w:rPr>
        <w:t>村庄规划简本适用于保障农房改善新增用地（包括农村宅基地、农村社区服务设施用地等），调整地块规划要求等简单需求的村庄。</w:t>
      </w:r>
    </w:p>
    <w:p>
      <w:pPr>
        <w:pStyle w:val="21"/>
        <w:rPr>
          <w:rFonts w:ascii="宋体" w:hAnsi="宋体" w:eastAsia="宋体"/>
          <w:b/>
        </w:rPr>
      </w:pPr>
      <w:r>
        <w:rPr>
          <w:rFonts w:ascii="宋体" w:hAnsi="宋体" w:eastAsia="宋体"/>
          <w:b/>
        </w:rPr>
        <w:t>（编制内容）</w:t>
      </w:r>
    </w:p>
    <w:p>
      <w:pPr>
        <w:rPr>
          <w:color w:val="FF0000"/>
          <w:shd w:val="clear" w:color="auto" w:fill="FFFF99"/>
        </w:rPr>
      </w:pPr>
      <w:r>
        <w:rPr>
          <w:rFonts w:hint="eastAsia"/>
        </w:rPr>
        <w:t>编制村庄规划，</w:t>
      </w:r>
      <w:r>
        <w:t>应当按照</w:t>
      </w:r>
      <w:r>
        <w:rPr>
          <w:rFonts w:hint="eastAsia"/>
        </w:rPr>
        <w:t>浙江</w:t>
      </w:r>
      <w:r>
        <w:t>省、宁波市村庄规划编制技术要求，坚持因地制宜、</w:t>
      </w:r>
      <w:r>
        <w:rPr>
          <w:rFonts w:hint="eastAsia"/>
        </w:rPr>
        <w:t>分类编制。根据实际情况确定村庄规划编制的内容和深度。</w:t>
      </w:r>
    </w:p>
    <w:p>
      <w:r>
        <w:rPr>
          <w:rFonts w:hint="eastAsia"/>
        </w:rPr>
        <w:t>村庄规划全本应重点明确以下管控内容：</w:t>
      </w:r>
    </w:p>
    <w:p>
      <w:r>
        <w:rPr>
          <w:rFonts w:hint="eastAsia"/>
        </w:rPr>
        <w:t>（</w:t>
      </w:r>
      <w:r>
        <w:t>1）落实乡镇级国土空间规划主要内容、约束性指标和控</w:t>
      </w:r>
      <w:r>
        <w:rPr>
          <w:rFonts w:hint="eastAsia"/>
        </w:rPr>
        <w:t>制线。</w:t>
      </w:r>
    </w:p>
    <w:p>
      <w:r>
        <w:rPr>
          <w:rFonts w:hint="eastAsia"/>
        </w:rPr>
        <w:t>（</w:t>
      </w:r>
      <w:r>
        <w:t>2）根据村庄实际进行分类引导；</w:t>
      </w:r>
    </w:p>
    <w:p>
      <w:r>
        <w:rPr>
          <w:rFonts w:hint="eastAsia"/>
        </w:rPr>
        <w:t>（</w:t>
      </w:r>
      <w:r>
        <w:t>3）明确村庄发展目标与定位；</w:t>
      </w:r>
    </w:p>
    <w:p>
      <w:r>
        <w:rPr>
          <w:rFonts w:hint="eastAsia"/>
        </w:rPr>
        <w:t>（</w:t>
      </w:r>
      <w:r>
        <w:t>4）明确用地布局，协调生态用地、农业用地的保护利用，</w:t>
      </w:r>
      <w:r>
        <w:rPr>
          <w:rFonts w:hint="eastAsia"/>
        </w:rPr>
        <w:t>优化空间布局；</w:t>
      </w:r>
    </w:p>
    <w:p>
      <w:r>
        <w:rPr>
          <w:rFonts w:hint="eastAsia"/>
        </w:rPr>
        <w:t>（</w:t>
      </w:r>
      <w:r>
        <w:t>5）合理确定集体经营性建设用地规模及空间布局；</w:t>
      </w:r>
    </w:p>
    <w:p>
      <w:r>
        <w:rPr>
          <w:rFonts w:hint="eastAsia"/>
        </w:rPr>
        <w:t>（</w:t>
      </w:r>
      <w:r>
        <w:t>6）完善提升，优化布局乡村生活圈涉及的各类公共服务</w:t>
      </w:r>
      <w:r>
        <w:rPr>
          <w:rFonts w:hint="eastAsia"/>
        </w:rPr>
        <w:t>设施与基础设施布局；</w:t>
      </w:r>
    </w:p>
    <w:p>
      <w:r>
        <w:rPr>
          <w:rFonts w:hint="eastAsia"/>
        </w:rPr>
        <w:t>（</w:t>
      </w:r>
      <w:r>
        <w:t>7）衔接并纳入全域土地综合整治与生态修复相关要求；</w:t>
      </w:r>
    </w:p>
    <w:p>
      <w:r>
        <w:rPr>
          <w:rFonts w:hint="eastAsia"/>
        </w:rPr>
        <w:t>（</w:t>
      </w:r>
      <w:r>
        <w:t>8）指引乡村设计，</w:t>
      </w:r>
      <w:r>
        <w:rPr>
          <w:rFonts w:hint="eastAsia"/>
        </w:rPr>
        <w:t>加强乡村历史文化保护传承</w:t>
      </w:r>
      <w:r>
        <w:t>，落实乡村景</w:t>
      </w:r>
      <w:r>
        <w:rPr>
          <w:rFonts w:hint="eastAsia"/>
        </w:rPr>
        <w:t>观风貌保护要求；</w:t>
      </w:r>
    </w:p>
    <w:p>
      <w:r>
        <w:rPr>
          <w:rFonts w:hint="eastAsia"/>
        </w:rPr>
        <w:t>（9）落实近期实施项目。</w:t>
      </w:r>
    </w:p>
    <w:p>
      <w:r>
        <w:t>村庄规划简本除以上（</w:t>
      </w:r>
      <w:r>
        <w:rPr>
          <w:rFonts w:hint="eastAsia"/>
        </w:rPr>
        <w:t>1</w:t>
      </w:r>
      <w:r>
        <w:t>）（</w:t>
      </w:r>
      <w:r>
        <w:rPr>
          <w:rFonts w:hint="eastAsia"/>
        </w:rPr>
        <w:t>2</w:t>
      </w:r>
      <w:r>
        <w:t>）（</w:t>
      </w:r>
      <w:r>
        <w:rPr>
          <w:rFonts w:hint="eastAsia"/>
        </w:rPr>
        <w:t>3</w:t>
      </w:r>
      <w:r>
        <w:t>）内容外，其他内容可根据实用性要求按需编制。</w:t>
      </w:r>
      <w:r>
        <w:rPr>
          <w:rFonts w:hint="eastAsia"/>
        </w:rPr>
        <w:t>涉及全域整治项目的村庄规划应结合全域整治实施方案编制，并设置全域整治专章。</w:t>
      </w:r>
    </w:p>
    <w:p>
      <w:pPr>
        <w:pStyle w:val="21"/>
        <w:rPr>
          <w:rFonts w:ascii="宋体" w:hAnsi="宋体" w:eastAsia="宋体"/>
          <w:b/>
        </w:rPr>
      </w:pPr>
      <w:bookmarkStart w:id="7" w:name="_Toc151023020"/>
      <w:r>
        <w:rPr>
          <w:rFonts w:ascii="宋体" w:hAnsi="宋体" w:eastAsia="宋体"/>
          <w:b/>
        </w:rPr>
        <w:t xml:space="preserve">（编制经费） </w:t>
      </w:r>
    </w:p>
    <w:p>
      <w:r>
        <w:rPr>
          <w:rFonts w:hint="eastAsia"/>
        </w:rPr>
        <w:t>村庄规划编制经费应当列入区（县、市）人民政府、镇（乡）人民政府、街道办事处财政预算。</w:t>
      </w:r>
    </w:p>
    <w:p>
      <w:pPr>
        <w:pStyle w:val="21"/>
        <w:rPr>
          <w:rFonts w:ascii="宋体" w:hAnsi="宋体" w:eastAsia="宋体"/>
        </w:rPr>
      </w:pPr>
      <w:r>
        <w:rPr>
          <w:rFonts w:ascii="宋体" w:hAnsi="宋体" w:eastAsia="宋体"/>
          <w:b/>
        </w:rPr>
        <w:t>（编制单位）</w:t>
      </w:r>
      <w:bookmarkEnd w:id="7"/>
      <w:r>
        <w:rPr>
          <w:rFonts w:ascii="宋体" w:hAnsi="宋体" w:eastAsia="宋体"/>
        </w:rPr>
        <w:t xml:space="preserve"> </w:t>
      </w:r>
    </w:p>
    <w:p>
      <w:r>
        <w:rPr>
          <w:rFonts w:hint="eastAsia"/>
        </w:rPr>
        <w:t>村庄规划必须由具备相应规划编制资质的编制单位以及具有相应规划编制经验的规划师来承担。</w:t>
      </w:r>
    </w:p>
    <w:p>
      <w:pPr>
        <w:pStyle w:val="2"/>
        <w:spacing w:before="120" w:after="120"/>
        <w:rPr>
          <w:rFonts w:ascii="宋体" w:hAnsi="宋体" w:eastAsia="宋体"/>
          <w:b/>
        </w:rPr>
      </w:pPr>
      <w:bookmarkStart w:id="8" w:name="_Toc151023021"/>
      <w:r>
        <w:rPr>
          <w:rFonts w:ascii="宋体" w:hAnsi="宋体" w:eastAsia="宋体"/>
          <w:b/>
        </w:rPr>
        <w:t>第三章 村庄规划的审批</w:t>
      </w:r>
      <w:bookmarkEnd w:id="8"/>
      <w:r>
        <w:rPr>
          <w:rFonts w:ascii="宋体" w:hAnsi="宋体" w:eastAsia="宋体"/>
          <w:b/>
        </w:rPr>
        <w:t xml:space="preserve"> </w:t>
      </w:r>
    </w:p>
    <w:p>
      <w:pPr>
        <w:pStyle w:val="21"/>
        <w:rPr>
          <w:rFonts w:ascii="宋体" w:hAnsi="宋体" w:eastAsia="宋体"/>
          <w:b/>
        </w:rPr>
      </w:pPr>
      <w:bookmarkStart w:id="9" w:name="_Toc151023022"/>
      <w:r>
        <w:rPr>
          <w:rFonts w:hint="eastAsia" w:ascii="宋体" w:hAnsi="宋体" w:eastAsia="宋体"/>
          <w:b/>
        </w:rPr>
        <w:t>（任务书备案）</w:t>
      </w:r>
    </w:p>
    <w:p>
      <w:r>
        <w:rPr>
          <w:rFonts w:hint="eastAsia"/>
        </w:rPr>
        <w:t>任务书由镇（乡）人民政府、街道办事处和区（</w:t>
      </w:r>
      <w:r>
        <w:t>县</w:t>
      </w:r>
      <w:r>
        <w:rPr>
          <w:rFonts w:hint="eastAsia"/>
        </w:rPr>
        <w:t>、</w:t>
      </w:r>
      <w:r>
        <w:t>市）</w:t>
      </w:r>
      <w:r>
        <w:rPr>
          <w:rFonts w:hint="eastAsia"/>
        </w:rPr>
        <w:t>自然资源和规划主管部门共同协商确定。报</w:t>
      </w:r>
      <w:r>
        <w:t>市自然资源和规划主管部门</w:t>
      </w:r>
      <w:r>
        <w:rPr>
          <w:rFonts w:hint="eastAsia"/>
        </w:rPr>
        <w:t>备案</w:t>
      </w:r>
      <w:r>
        <w:t>。</w:t>
      </w:r>
    </w:p>
    <w:p>
      <w:pPr>
        <w:pStyle w:val="21"/>
        <w:rPr>
          <w:rFonts w:ascii="宋体" w:hAnsi="宋体" w:eastAsia="宋体"/>
        </w:rPr>
      </w:pPr>
      <w:r>
        <w:rPr>
          <w:rFonts w:ascii="宋体" w:hAnsi="宋体" w:eastAsia="宋体"/>
          <w:b/>
        </w:rPr>
        <w:t>（</w:t>
      </w:r>
      <w:r>
        <w:rPr>
          <w:rFonts w:hint="eastAsia" w:ascii="宋体" w:hAnsi="宋体" w:eastAsia="宋体"/>
          <w:b/>
        </w:rPr>
        <w:t>审批</w:t>
      </w:r>
      <w:r>
        <w:rPr>
          <w:rFonts w:ascii="宋体" w:hAnsi="宋体" w:eastAsia="宋体"/>
          <w:b/>
        </w:rPr>
        <w:t>流程）</w:t>
      </w:r>
      <w:bookmarkEnd w:id="9"/>
      <w:r>
        <w:rPr>
          <w:rFonts w:ascii="宋体" w:hAnsi="宋体" w:eastAsia="宋体"/>
          <w:b/>
        </w:rPr>
        <w:t xml:space="preserve"> </w:t>
      </w:r>
    </w:p>
    <w:p>
      <w:r>
        <w:t>村庄规划</w:t>
      </w:r>
      <w:r>
        <w:rPr>
          <w:rFonts w:hint="eastAsia"/>
        </w:rPr>
        <w:t>新编、重新修编</w:t>
      </w:r>
      <w:r>
        <w:t>应当按照以下流程依法报批：</w:t>
      </w:r>
    </w:p>
    <w:p>
      <w:r>
        <w:rPr>
          <w:rFonts w:hint="eastAsia"/>
        </w:rPr>
        <w:t>（一）编制：镇（乡）人民政府、街道办事处组织编制，充分采纳村民意见、建议和诉求，根据村庄规划编制技术导则，完成村庄规划草案。</w:t>
      </w:r>
    </w:p>
    <w:p>
      <w:r>
        <w:rPr>
          <w:rFonts w:hint="eastAsia"/>
        </w:rPr>
        <w:t>（二）审查：组织编制机关根据实际需要，通过组织召开技术审查会议、专家评审会、部门联合会审会议等形式，对村庄规划草案进行技术论证，并由区（县、市）自然资源和规划主管部门会同镇（乡）人民政府、街道办事处对村庄规划草案履行相应的审查程序。</w:t>
      </w:r>
    </w:p>
    <w:p>
      <w:r>
        <w:rPr>
          <w:rFonts w:hint="eastAsia"/>
        </w:rPr>
        <w:t>（三）讨论、公告：由村民会议或村民代表会议对规划成果进行讨论。规划成果须按照有关规定予以公告，公告期限不少于三十</w:t>
      </w:r>
      <w:r>
        <w:t>日。</w:t>
      </w:r>
      <w:r>
        <w:rPr>
          <w:rFonts w:hint="eastAsia"/>
        </w:rPr>
        <w:t>但根据法律、法规和国家有关规定属于保密范围的除外。</w:t>
      </w:r>
    </w:p>
    <w:p>
      <w:pPr>
        <w:rPr>
          <w:rFonts w:hint="eastAsia"/>
        </w:rPr>
      </w:pPr>
      <w:r>
        <w:rPr>
          <w:rFonts w:hint="eastAsia"/>
        </w:rPr>
        <w:t>（四）批复：镇（乡）人民政府、街道办事处将修改完善后的村庄规划成果报市自然资源规划局</w:t>
      </w:r>
      <w:r>
        <w:rPr>
          <w:rFonts w:hint="default"/>
        </w:rPr>
        <w:t>进行</w:t>
      </w:r>
      <w:r>
        <w:rPr>
          <w:rFonts w:hint="eastAsia"/>
        </w:rPr>
        <w:t>数据库审查，通过后报市或者县（市）人民政府审批。</w:t>
      </w:r>
    </w:p>
    <w:p>
      <w:pPr>
        <w:pStyle w:val="21"/>
        <w:rPr>
          <w:rFonts w:ascii="宋体" w:hAnsi="宋体" w:eastAsia="宋体"/>
          <w:b/>
        </w:rPr>
      </w:pPr>
      <w:bookmarkStart w:id="10" w:name="_Toc151023025"/>
      <w:r>
        <w:rPr>
          <w:rFonts w:ascii="宋体" w:hAnsi="宋体" w:eastAsia="宋体"/>
          <w:b/>
        </w:rPr>
        <w:t>（审批</w:t>
      </w:r>
      <w:r>
        <w:rPr>
          <w:rFonts w:hint="eastAsia" w:ascii="宋体" w:hAnsi="宋体" w:eastAsia="宋体"/>
          <w:b/>
        </w:rPr>
        <w:t>材料</w:t>
      </w:r>
      <w:r>
        <w:rPr>
          <w:rFonts w:ascii="宋体" w:hAnsi="宋体" w:eastAsia="宋体"/>
          <w:b/>
        </w:rPr>
        <w:t>）</w:t>
      </w:r>
      <w:bookmarkEnd w:id="10"/>
      <w:r>
        <w:rPr>
          <w:rFonts w:ascii="宋体" w:hAnsi="宋体" w:eastAsia="宋体"/>
          <w:b/>
        </w:rPr>
        <w:t xml:space="preserve"> </w:t>
      </w:r>
    </w:p>
    <w:p>
      <w:r>
        <w:rPr>
          <w:rFonts w:hint="eastAsia"/>
        </w:rPr>
        <w:t>村庄规划报送审批的材料应包含审查意见及采纳情况、征求意见及采纳情况、村民会议或村民代表会议通过的决议、村民会议或村民代表会议审议同意的村庄规划草案和其他有关附件。</w:t>
      </w:r>
    </w:p>
    <w:p>
      <w:pPr>
        <w:pStyle w:val="21"/>
        <w:rPr>
          <w:rFonts w:ascii="宋体" w:hAnsi="宋体" w:eastAsia="宋体"/>
          <w:b/>
        </w:rPr>
      </w:pPr>
      <w:bookmarkStart w:id="11" w:name="_Toc151023026"/>
      <w:r>
        <w:rPr>
          <w:rFonts w:ascii="宋体" w:hAnsi="宋体" w:eastAsia="宋体"/>
          <w:b/>
        </w:rPr>
        <w:t>（批后公</w:t>
      </w:r>
      <w:r>
        <w:rPr>
          <w:rFonts w:hint="eastAsia" w:ascii="宋体" w:hAnsi="宋体" w:eastAsia="宋体"/>
          <w:b/>
        </w:rPr>
        <w:t>布</w:t>
      </w:r>
      <w:r>
        <w:rPr>
          <w:rFonts w:ascii="宋体" w:hAnsi="宋体" w:eastAsia="宋体"/>
          <w:b/>
        </w:rPr>
        <w:t>）</w:t>
      </w:r>
      <w:bookmarkEnd w:id="11"/>
      <w:r>
        <w:rPr>
          <w:rFonts w:ascii="宋体" w:hAnsi="宋体" w:eastAsia="宋体"/>
          <w:b/>
        </w:rPr>
        <w:t xml:space="preserve"> </w:t>
      </w:r>
    </w:p>
    <w:p>
      <w:r>
        <w:rPr>
          <w:rFonts w:hint="eastAsia"/>
        </w:rPr>
        <w:t>村庄规划应当自批准后二十日内通过政府门户网站和固定场所进行批后公布，时间不少于三十日。在规划期内应当纳入政府信息公开渠道，向社会公开。</w:t>
      </w:r>
      <w:r>
        <w:t>法律、法规</w:t>
      </w:r>
      <w:r>
        <w:rPr>
          <w:rFonts w:hint="eastAsia"/>
        </w:rPr>
        <w:t>规定不得公开的</w:t>
      </w:r>
      <w:r>
        <w:t>除外。</w:t>
      </w:r>
    </w:p>
    <w:p>
      <w:pPr>
        <w:pStyle w:val="21"/>
        <w:rPr>
          <w:rFonts w:ascii="宋体" w:hAnsi="宋体" w:eastAsia="宋体"/>
          <w:b/>
        </w:rPr>
      </w:pPr>
      <w:bookmarkStart w:id="12" w:name="_Toc151023027"/>
      <w:r>
        <w:rPr>
          <w:rFonts w:ascii="宋体" w:hAnsi="宋体" w:eastAsia="宋体"/>
          <w:b/>
        </w:rPr>
        <w:t>（</w:t>
      </w:r>
      <w:r>
        <w:rPr>
          <w:rFonts w:hint="eastAsia" w:ascii="宋体" w:hAnsi="宋体" w:eastAsia="宋体"/>
          <w:b/>
        </w:rPr>
        <w:t>入库备案）</w:t>
      </w:r>
      <w:bookmarkEnd w:id="12"/>
    </w:p>
    <w:p>
      <w:pPr>
        <w:rPr>
          <w:rFonts w:hint="eastAsia"/>
        </w:rPr>
      </w:pPr>
      <w:r>
        <w:rPr>
          <w:rFonts w:hint="eastAsia"/>
        </w:rPr>
        <w:t>村庄规划批准之日起三十个工作日内，镇（乡）人民政府、街道办事处应当将村庄规划</w:t>
      </w:r>
      <w:r>
        <w:rPr>
          <w:rFonts w:hint="default"/>
        </w:rPr>
        <w:t>批复</w:t>
      </w:r>
      <w:r>
        <w:rPr>
          <w:rFonts w:hint="eastAsia"/>
        </w:rPr>
        <w:t>报市自然资源规划局，</w:t>
      </w:r>
      <w:r>
        <w:rPr>
          <w:rFonts w:hint="default"/>
        </w:rPr>
        <w:t>村庄规划成果</w:t>
      </w:r>
      <w:r>
        <w:rPr>
          <w:rFonts w:hint="eastAsia"/>
        </w:rPr>
        <w:t>纳入“宁波市国土空间规划‘一张图’实施监督信息系统”进行管理。</w:t>
      </w:r>
    </w:p>
    <w:p>
      <w:pPr>
        <w:pStyle w:val="21"/>
        <w:rPr>
          <w:rFonts w:ascii="宋体" w:hAnsi="宋体" w:eastAsia="宋体"/>
          <w:b/>
        </w:rPr>
      </w:pPr>
      <w:r>
        <w:rPr>
          <w:rFonts w:ascii="宋体" w:hAnsi="宋体" w:eastAsia="宋体"/>
          <w:b/>
        </w:rPr>
        <w:t>（成果归档）</w:t>
      </w:r>
    </w:p>
    <w:p>
      <w:r>
        <w:rPr>
          <w:rFonts w:hint="eastAsia"/>
        </w:rPr>
        <w:t>镇（乡）人民政府、街道办事处、自然资源和规划主管部门应将经批准的村庄规划编制成果、批准文件、审查意见及采纳情况、征求意见及采纳情况、村民会议或村民代表会议通过的决议等材料及时整理归档。</w:t>
      </w:r>
    </w:p>
    <w:p>
      <w:r>
        <w:rPr>
          <w:rFonts w:hint="eastAsia"/>
        </w:rPr>
        <w:t>镇（乡）人民政府、街道办事处应该加强村庄规划的宣传普及，向村民委员会提供规划成果，供村民查阅，但根据法律、法规和国家有关规定属于保密范围的除外。</w:t>
      </w:r>
    </w:p>
    <w:p>
      <w:pPr>
        <w:pStyle w:val="2"/>
        <w:spacing w:before="120" w:after="120"/>
        <w:rPr>
          <w:rFonts w:ascii="宋体" w:hAnsi="宋体" w:eastAsia="宋体"/>
          <w:b/>
        </w:rPr>
      </w:pPr>
      <w:bookmarkStart w:id="13" w:name="_Toc151023033"/>
      <w:r>
        <w:rPr>
          <w:rFonts w:ascii="宋体" w:hAnsi="宋体" w:eastAsia="宋体"/>
          <w:b/>
        </w:rPr>
        <w:t>第</w:t>
      </w:r>
      <w:r>
        <w:rPr>
          <w:rFonts w:hint="eastAsia" w:ascii="宋体" w:hAnsi="宋体" w:eastAsia="宋体"/>
          <w:b/>
        </w:rPr>
        <w:t>四</w:t>
      </w:r>
      <w:r>
        <w:rPr>
          <w:rFonts w:ascii="宋体" w:hAnsi="宋体" w:eastAsia="宋体"/>
          <w:b/>
        </w:rPr>
        <w:t>章 村庄规划的修改</w:t>
      </w:r>
      <w:bookmarkEnd w:id="13"/>
      <w:r>
        <w:rPr>
          <w:rFonts w:ascii="宋体" w:hAnsi="宋体" w:eastAsia="宋体"/>
          <w:b/>
        </w:rPr>
        <w:t xml:space="preserve"> </w:t>
      </w:r>
    </w:p>
    <w:p>
      <w:pPr>
        <w:pStyle w:val="21"/>
        <w:rPr>
          <w:rFonts w:ascii="宋体" w:hAnsi="宋体" w:eastAsia="宋体"/>
        </w:rPr>
      </w:pPr>
      <w:bookmarkStart w:id="14" w:name="_Toc151023034"/>
      <w:r>
        <w:rPr>
          <w:rFonts w:ascii="宋体" w:hAnsi="宋体" w:eastAsia="宋体"/>
          <w:b/>
        </w:rPr>
        <w:t>（修改原则）</w:t>
      </w:r>
      <w:bookmarkEnd w:id="14"/>
      <w:r>
        <w:rPr>
          <w:rFonts w:ascii="宋体" w:hAnsi="宋体" w:eastAsia="宋体"/>
        </w:rPr>
        <w:t xml:space="preserve"> </w:t>
      </w:r>
    </w:p>
    <w:p>
      <w:pPr>
        <w:rPr>
          <w:color w:val="FF0000"/>
          <w:shd w:val="clear" w:color="auto" w:fill="FFFF66"/>
        </w:rPr>
      </w:pPr>
      <w:r>
        <w:rPr>
          <w:rFonts w:hint="eastAsia"/>
        </w:rPr>
        <w:t>村庄规划经法定程序批准后，任何组织或者个人不得擅自修改。确需修改的，应按照规定程序进行。村庄规划修改分为重新修编、局部调整两种情形。</w:t>
      </w:r>
    </w:p>
    <w:p>
      <w:pPr>
        <w:pStyle w:val="21"/>
        <w:rPr>
          <w:rFonts w:ascii="宋体" w:hAnsi="宋体" w:eastAsia="宋体"/>
        </w:rPr>
      </w:pPr>
      <w:bookmarkStart w:id="15" w:name="_Toc151023037"/>
      <w:r>
        <w:rPr>
          <w:rFonts w:ascii="宋体" w:hAnsi="宋体" w:eastAsia="宋体"/>
          <w:b/>
        </w:rPr>
        <w:t>（</w:t>
      </w:r>
      <w:r>
        <w:rPr>
          <w:rFonts w:hint="eastAsia" w:ascii="宋体" w:hAnsi="宋体" w:eastAsia="宋体"/>
          <w:b/>
        </w:rPr>
        <w:t>重新</w:t>
      </w:r>
      <w:r>
        <w:rPr>
          <w:rFonts w:ascii="宋体" w:hAnsi="宋体" w:eastAsia="宋体"/>
          <w:b/>
        </w:rPr>
        <w:t>修编情形）</w:t>
      </w:r>
      <w:bookmarkEnd w:id="15"/>
      <w:r>
        <w:rPr>
          <w:rFonts w:ascii="宋体" w:hAnsi="宋体" w:eastAsia="宋体"/>
        </w:rPr>
        <w:t xml:space="preserve"> </w:t>
      </w:r>
    </w:p>
    <w:p>
      <w:r>
        <w:rPr>
          <w:rFonts w:hint="eastAsia"/>
        </w:rPr>
        <w:t>有下列情形之一的，组织编制机关应按第三章规定的程序开展重新修编：</w:t>
      </w:r>
    </w:p>
    <w:p>
      <w:r>
        <w:rPr>
          <w:rFonts w:hint="eastAsia"/>
        </w:rPr>
        <w:t>（一）所落实的上位国土空间总体规划或所依据的相关国土空间专项规划的强制性内容与约束性指标发生变化，对村庄规划的定位、功能与布局产生重大影响确需修改规划的；</w:t>
      </w:r>
    </w:p>
    <w:p>
      <w:r>
        <w:rPr>
          <w:rFonts w:hint="eastAsia"/>
        </w:rPr>
        <w:t>（二）因行政区划调整确需修改规划的；</w:t>
      </w:r>
    </w:p>
    <w:p>
      <w:r>
        <w:rPr>
          <w:rFonts w:hint="eastAsia"/>
        </w:rPr>
        <w:t>（三）因国务院、省、市、县人民政府批准重大建设工程确需修改规划的；</w:t>
      </w:r>
    </w:p>
    <w:p>
      <w:r>
        <w:rPr>
          <w:rFonts w:hint="eastAsia"/>
        </w:rPr>
        <w:t>（四）因历史文化保护、地质灾害、安全防护和公共利益等原因确需修改的；</w:t>
      </w:r>
    </w:p>
    <w:p>
      <w:r>
        <w:rPr>
          <w:rFonts w:hint="eastAsia"/>
        </w:rPr>
        <w:t>（五</w:t>
      </w:r>
      <w:r>
        <w:t>）经定期体检评估、监测后确需修改规划的；</w:t>
      </w:r>
    </w:p>
    <w:p>
      <w:r>
        <w:rPr>
          <w:rFonts w:hint="eastAsia"/>
        </w:rPr>
        <w:t>（六）村庄规划的审批机关认为应当修改规划的其他情形。</w:t>
      </w:r>
    </w:p>
    <w:p>
      <w:r>
        <w:rPr>
          <w:rFonts w:hint="eastAsia"/>
        </w:rPr>
        <w:t>村庄规划的重新修编不得违反总体规划的强制性内容和约束性指标，确需调整的应先调整总体规划。</w:t>
      </w:r>
    </w:p>
    <w:p>
      <w:pPr>
        <w:pStyle w:val="21"/>
        <w:rPr>
          <w:rFonts w:ascii="宋体" w:hAnsi="宋体" w:eastAsia="宋体"/>
          <w:b/>
        </w:rPr>
      </w:pPr>
      <w:bookmarkStart w:id="16" w:name="_Toc151023039"/>
      <w:r>
        <w:rPr>
          <w:rFonts w:ascii="宋体" w:hAnsi="宋体" w:eastAsia="宋体"/>
          <w:b/>
        </w:rPr>
        <w:t>（</w:t>
      </w:r>
      <w:r>
        <w:rPr>
          <w:rFonts w:hint="eastAsia" w:ascii="宋体" w:hAnsi="宋体" w:eastAsia="宋体"/>
          <w:b/>
        </w:rPr>
        <w:t>局部</w:t>
      </w:r>
      <w:r>
        <w:rPr>
          <w:rFonts w:ascii="宋体" w:hAnsi="宋体" w:eastAsia="宋体"/>
          <w:b/>
        </w:rPr>
        <w:t>调整</w:t>
      </w:r>
      <w:r>
        <w:rPr>
          <w:rFonts w:hint="eastAsia" w:ascii="宋体" w:hAnsi="宋体" w:eastAsia="宋体"/>
          <w:b/>
        </w:rPr>
        <w:t>情形</w:t>
      </w:r>
      <w:r>
        <w:rPr>
          <w:rFonts w:ascii="宋体" w:hAnsi="宋体" w:eastAsia="宋体"/>
          <w:b/>
        </w:rPr>
        <w:t>）</w:t>
      </w:r>
      <w:bookmarkEnd w:id="16"/>
      <w:r>
        <w:rPr>
          <w:rFonts w:ascii="宋体" w:hAnsi="宋体" w:eastAsia="宋体"/>
          <w:b/>
        </w:rPr>
        <w:t xml:space="preserve"> </w:t>
      </w:r>
    </w:p>
    <w:p>
      <w:r>
        <w:rPr>
          <w:rFonts w:hint="eastAsia"/>
        </w:rPr>
        <w:t>除前款重新修编情形外，在不突破原规划约束性指标、各类空间控制线和分区管控要求，对村庄用地布局、村庄建设边界、地块开发控制指标、地块划分、用地功能兼容、设施配套、交通组织、风貌管控及分期实施等内容进行优化，且优化方向符合乡村振兴相关政策导向的，属于村庄规划局部调整。</w:t>
      </w:r>
    </w:p>
    <w:p>
      <w:pPr>
        <w:pStyle w:val="21"/>
        <w:rPr>
          <w:rFonts w:ascii="宋体" w:hAnsi="宋体" w:eastAsia="宋体"/>
        </w:rPr>
      </w:pPr>
      <w:r>
        <w:rPr>
          <w:rFonts w:ascii="宋体" w:hAnsi="宋体" w:eastAsia="宋体"/>
          <w:b/>
        </w:rPr>
        <w:t>（</w:t>
      </w:r>
      <w:r>
        <w:rPr>
          <w:rFonts w:hint="eastAsia" w:ascii="宋体" w:hAnsi="宋体" w:eastAsia="宋体"/>
          <w:b/>
        </w:rPr>
        <w:t>局部</w:t>
      </w:r>
      <w:r>
        <w:rPr>
          <w:rFonts w:ascii="宋体" w:hAnsi="宋体" w:eastAsia="宋体"/>
          <w:b/>
        </w:rPr>
        <w:t>调整程序）</w:t>
      </w:r>
      <w:r>
        <w:rPr>
          <w:rFonts w:ascii="宋体" w:hAnsi="宋体" w:eastAsia="宋体"/>
        </w:rPr>
        <w:t xml:space="preserve"> </w:t>
      </w:r>
    </w:p>
    <w:p>
      <w:r>
        <w:rPr>
          <w:rFonts w:hint="eastAsia"/>
        </w:rPr>
        <w:t>村庄规划的局部调整按如下程序开展：</w:t>
      </w:r>
    </w:p>
    <w:p>
      <w:r>
        <w:rPr>
          <w:rFonts w:hint="eastAsia"/>
        </w:rPr>
        <w:t>（一）编制局部调整论证报告：镇（乡）人民政府、街道办事处委托具有相应资质的编制单位编制村庄规划局部调整论证报告。</w:t>
      </w:r>
    </w:p>
    <w:p>
      <w:r>
        <w:rPr>
          <w:rFonts w:hint="eastAsia"/>
        </w:rPr>
        <w:t>（二）审查：组织编制机关根据实际需要，通过组织召开技术审查会议、专家评审会、部门联合会审会议等形式，对村庄规划局部调整论证报告进行技术论证，区（县、市）自然资源和规划主管部门会同镇（乡）人民政府、街道办事处对村庄规划局部调整论证报告履行相应的审查程序。</w:t>
      </w:r>
    </w:p>
    <w:p>
      <w:r>
        <w:rPr>
          <w:rFonts w:hint="eastAsia"/>
        </w:rPr>
        <w:t>（三）讨论、公告：由村民会议或村民代表会议对村庄规划局部调整论证报告进行讨论。村庄规划局部调整论证报告须按照有关规定予以公告，公告期限不少于十日。</w:t>
      </w:r>
      <w:r>
        <w:t>但根据法律、法规和国家有关规定属于保密范围的除外。</w:t>
      </w:r>
    </w:p>
    <w:p>
      <w:pPr>
        <w:rPr>
          <w:rFonts w:hint="eastAsia"/>
        </w:rPr>
      </w:pPr>
      <w:r>
        <w:rPr>
          <w:rFonts w:hint="eastAsia"/>
        </w:rPr>
        <w:t>（四）批复：镇（乡）人民政府、街道办事处将修改完善后的村庄规划局部调整论证成果报市自然资源规划局</w:t>
      </w:r>
      <w:r>
        <w:rPr>
          <w:rFonts w:hint="default"/>
        </w:rPr>
        <w:t>进行</w:t>
      </w:r>
      <w:r>
        <w:rPr>
          <w:rFonts w:hint="eastAsia"/>
        </w:rPr>
        <w:t>数据库审查，通过后将审查意见及采纳情况、征求意见及采纳情况、村民会议或村民代表会议通过的决议、村民会议或村民代表会议审议同意的村庄规划局部调整论证报告和其他有关附件，报原批准单位审批。</w:t>
      </w:r>
    </w:p>
    <w:p>
      <w:r>
        <w:rPr>
          <w:rFonts w:hint="eastAsia"/>
        </w:rPr>
        <w:t>（五）批后公布：村庄规划局部调整论证报告应当自批准后二十日内通过政府门户网站和固定场所进行批后公布，时间不少于三十日。在规划期内应当纳入政府信息公开渠道，向社会公开</w:t>
      </w:r>
      <w:r>
        <w:t>。但根据法律、法规和国家有关规定属于保密范围的除外。</w:t>
      </w:r>
    </w:p>
    <w:p>
      <w:pPr>
        <w:rPr>
          <w:rFonts w:hint="eastAsia"/>
        </w:rPr>
      </w:pPr>
      <w:r>
        <w:rPr>
          <w:rFonts w:hint="eastAsia"/>
        </w:rPr>
        <w:t>（六）入库备案：批准后，镇（乡）人民政府、街道办事处应将村庄规划局部调整论批复报自然资源和规划主管部门，</w:t>
      </w:r>
      <w:r>
        <w:rPr>
          <w:rFonts w:hint="default"/>
        </w:rPr>
        <w:t>村庄规划局部调整成果</w:t>
      </w:r>
      <w:r>
        <w:rPr>
          <w:rFonts w:hint="eastAsia"/>
        </w:rPr>
        <w:t>纳入“宁波市国土空间规划‘一张图’实施监督信息系统”进行管理。</w:t>
      </w:r>
    </w:p>
    <w:p>
      <w:r>
        <w:t>（七）成果归档：</w:t>
      </w:r>
      <w:r>
        <w:rPr>
          <w:rFonts w:hint="eastAsia"/>
        </w:rPr>
        <w:t>镇（乡）人民政府、街道办事处、自然资源和规划主管部门应将经批准的村庄规划局部调整论证报告成果、批准文件、审查意见及采纳情况、征求意见及采纳情况、村民会议或村民代表会议通过的决议等材料归入原村庄规划档案。</w:t>
      </w:r>
    </w:p>
    <w:p>
      <w:pPr>
        <w:pStyle w:val="2"/>
        <w:spacing w:before="120" w:after="120"/>
        <w:rPr>
          <w:rFonts w:ascii="宋体" w:hAnsi="宋体" w:eastAsia="宋体"/>
          <w:b/>
        </w:rPr>
      </w:pPr>
      <w:r>
        <w:rPr>
          <w:rFonts w:hint="eastAsia" w:ascii="宋体" w:hAnsi="宋体" w:eastAsia="宋体"/>
          <w:b/>
        </w:rPr>
        <w:t>第五章 村庄规划的实施</w:t>
      </w:r>
    </w:p>
    <w:p>
      <w:pPr>
        <w:pStyle w:val="21"/>
        <w:rPr>
          <w:rFonts w:ascii="宋体" w:hAnsi="宋体" w:eastAsia="宋体"/>
          <w:b/>
        </w:rPr>
      </w:pPr>
      <w:r>
        <w:rPr>
          <w:rFonts w:ascii="宋体" w:hAnsi="宋体" w:eastAsia="宋体"/>
          <w:b/>
        </w:rPr>
        <w:t>（</w:t>
      </w:r>
      <w:r>
        <w:rPr>
          <w:rFonts w:hint="eastAsia" w:ascii="宋体" w:hAnsi="宋体" w:eastAsia="宋体"/>
          <w:b/>
        </w:rPr>
        <w:t>实施依据</w:t>
      </w:r>
      <w:r>
        <w:rPr>
          <w:rFonts w:ascii="宋体" w:hAnsi="宋体" w:eastAsia="宋体"/>
          <w:b/>
        </w:rPr>
        <w:t>）</w:t>
      </w:r>
    </w:p>
    <w:p>
      <w:r>
        <w:rPr>
          <w:rFonts w:hint="eastAsia"/>
        </w:rPr>
        <w:t>经依法批准的村庄规划是自然资源和规划主管部门作出规划许可、实施规划管理的直接法定依据。在村庄规划范围内进行土地利用和开发建设的，任何单位和个人都应当遵守经批准并公布的村庄规划。</w:t>
      </w:r>
    </w:p>
    <w:p>
      <w:pPr>
        <w:pStyle w:val="21"/>
        <w:rPr>
          <w:rFonts w:ascii="宋体" w:hAnsi="宋体" w:eastAsia="宋体"/>
          <w:b/>
        </w:rPr>
      </w:pPr>
      <w:r>
        <w:rPr>
          <w:rFonts w:ascii="宋体" w:hAnsi="宋体" w:eastAsia="宋体"/>
          <w:b/>
        </w:rPr>
        <w:t>（</w:t>
      </w:r>
      <w:r>
        <w:rPr>
          <w:rFonts w:hint="eastAsia" w:ascii="宋体" w:hAnsi="宋体" w:eastAsia="宋体"/>
          <w:b/>
        </w:rPr>
        <w:t>实施深化情形</w:t>
      </w:r>
      <w:r>
        <w:rPr>
          <w:rFonts w:ascii="宋体" w:hAnsi="宋体" w:eastAsia="宋体"/>
          <w:b/>
        </w:rPr>
        <w:t xml:space="preserve">） </w:t>
      </w:r>
    </w:p>
    <w:p>
      <w:pPr>
        <w:rPr>
          <w:rFonts w:hint="eastAsia"/>
        </w:rPr>
      </w:pPr>
      <w:r>
        <w:rPr>
          <w:rFonts w:hint="eastAsia"/>
        </w:rPr>
        <w:t>村庄规划的实施深化是指全域整治实施方案引起的村庄规划实施阶段，根据具体情况，对村庄规划进行技术修正及进一步完善的行为。</w:t>
      </w:r>
    </w:p>
    <w:p>
      <w:pPr>
        <w:pStyle w:val="21"/>
        <w:rPr>
          <w:rFonts w:ascii="宋体" w:hAnsi="宋体" w:eastAsia="宋体"/>
          <w:b/>
        </w:rPr>
      </w:pPr>
      <w:r>
        <w:rPr>
          <w:rFonts w:ascii="宋体" w:hAnsi="宋体" w:eastAsia="宋体"/>
          <w:b/>
        </w:rPr>
        <w:t>（实施深化程序）</w:t>
      </w:r>
    </w:p>
    <w:p>
      <w:pPr>
        <w:rPr>
          <w:rFonts w:hint="eastAsia"/>
        </w:rPr>
      </w:pPr>
      <w:r>
        <w:rPr>
          <w:rFonts w:hint="eastAsia"/>
        </w:rPr>
        <w:t>因全域整治实施方案引起的村庄规划实施深化，应结合全域整治实施方案编制村庄规划实施深化方案。村庄规划实施深化方案可与全域整治实施方案同步审查。涉及公益性设施实施深化的，应征询村民意见。全域整治实施方案通过市级审定后，实施深化方案按程序完成入库备案和成果归档。</w:t>
      </w:r>
    </w:p>
    <w:p>
      <w:pPr>
        <w:pStyle w:val="2"/>
        <w:spacing w:before="120" w:after="120"/>
        <w:rPr>
          <w:rFonts w:ascii="宋体" w:hAnsi="宋体" w:eastAsia="宋体"/>
          <w:b/>
        </w:rPr>
      </w:pPr>
      <w:r>
        <w:rPr>
          <w:rFonts w:hint="eastAsia" w:ascii="宋体" w:hAnsi="宋体" w:eastAsia="宋体"/>
          <w:b/>
        </w:rPr>
        <w:t>第六章 监督检查</w:t>
      </w:r>
    </w:p>
    <w:p>
      <w:pPr>
        <w:pStyle w:val="21"/>
        <w:rPr>
          <w:rFonts w:ascii="宋体" w:hAnsi="宋体" w:eastAsia="宋体"/>
          <w:b/>
        </w:rPr>
      </w:pPr>
      <w:r>
        <w:rPr>
          <w:rFonts w:ascii="宋体" w:hAnsi="宋体" w:eastAsia="宋体"/>
          <w:b/>
        </w:rPr>
        <w:t>（</w:t>
      </w:r>
      <w:r>
        <w:rPr>
          <w:rFonts w:hint="eastAsia" w:ascii="宋体" w:hAnsi="宋体" w:eastAsia="宋体"/>
          <w:b/>
        </w:rPr>
        <w:t>监督检查</w:t>
      </w:r>
      <w:r>
        <w:rPr>
          <w:rFonts w:ascii="宋体" w:hAnsi="宋体" w:eastAsia="宋体"/>
          <w:b/>
        </w:rPr>
        <w:t>）</w:t>
      </w:r>
    </w:p>
    <w:p>
      <w:r>
        <w:rPr>
          <w:rFonts w:hint="eastAsia"/>
        </w:rPr>
        <w:t>市和区</w:t>
      </w:r>
      <w:r>
        <w:t>(</w:t>
      </w:r>
      <w:r>
        <w:rPr>
          <w:rFonts w:hint="eastAsia"/>
        </w:rPr>
        <w:t>县、</w:t>
      </w:r>
      <w:r>
        <w:t>市)人民政府以及自然资源和规划主管部门应当加强对</w:t>
      </w:r>
      <w:r>
        <w:rPr>
          <w:rFonts w:hint="eastAsia"/>
        </w:rPr>
        <w:t>村庄</w:t>
      </w:r>
      <w:r>
        <w:t>规划编制、审批、实施</w:t>
      </w:r>
      <w:r>
        <w:rPr>
          <w:rFonts w:hint="eastAsia"/>
        </w:rPr>
        <w:t>、修改</w:t>
      </w:r>
      <w:r>
        <w:t>和国土空间用途管制以及各类建设活动的监督检查，及时纠正、依法查处违反法律、法规和本条例规定的行为，并通过国土空间规划信息网站和其他适当途径及时向社会公开。</w:t>
      </w:r>
    </w:p>
    <w:p>
      <w:pPr>
        <w:pStyle w:val="21"/>
        <w:rPr>
          <w:rFonts w:ascii="宋体" w:hAnsi="宋体" w:eastAsia="宋体"/>
          <w:b/>
        </w:rPr>
      </w:pPr>
      <w:r>
        <w:rPr>
          <w:rFonts w:ascii="宋体" w:hAnsi="宋体" w:eastAsia="宋体"/>
          <w:b/>
        </w:rPr>
        <w:t>（</w:t>
      </w:r>
      <w:r>
        <w:rPr>
          <w:rFonts w:hint="eastAsia" w:ascii="宋体" w:hAnsi="宋体" w:eastAsia="宋体"/>
          <w:b/>
        </w:rPr>
        <w:t>数字监管</w:t>
      </w:r>
      <w:r>
        <w:rPr>
          <w:rFonts w:ascii="宋体" w:hAnsi="宋体" w:eastAsia="宋体"/>
          <w:b/>
        </w:rPr>
        <w:t>）</w:t>
      </w:r>
    </w:p>
    <w:p>
      <w:r>
        <w:rPr>
          <w:rFonts w:hint="eastAsia"/>
        </w:rPr>
        <w:t>市自然资源和规划主管部门应当建设国土空间基础信息平台，推进各部门之间的空间关联数据共享、政府与社会之间的空间关联信息交互。经依法批准的村庄规划应当纳入国土空间基础信息平台，并形成国土空间规划“一张图”。</w:t>
      </w:r>
    </w:p>
    <w:p>
      <w:pPr>
        <w:pStyle w:val="2"/>
        <w:spacing w:before="120" w:after="120"/>
        <w:rPr>
          <w:rFonts w:ascii="宋体" w:hAnsi="宋体" w:eastAsia="宋体"/>
          <w:b/>
        </w:rPr>
      </w:pPr>
      <w:bookmarkStart w:id="17" w:name="_Toc151023050"/>
      <w:r>
        <w:rPr>
          <w:rFonts w:ascii="宋体" w:hAnsi="宋体" w:eastAsia="宋体"/>
          <w:b/>
        </w:rPr>
        <w:t>第</w:t>
      </w:r>
      <w:r>
        <w:rPr>
          <w:rFonts w:hint="eastAsia" w:ascii="宋体" w:hAnsi="宋体" w:eastAsia="宋体"/>
          <w:b/>
        </w:rPr>
        <w:t>六</w:t>
      </w:r>
      <w:r>
        <w:rPr>
          <w:rFonts w:ascii="宋体" w:hAnsi="宋体" w:eastAsia="宋体"/>
          <w:b/>
        </w:rPr>
        <w:t>章 附 则</w:t>
      </w:r>
      <w:bookmarkEnd w:id="17"/>
      <w:r>
        <w:rPr>
          <w:rFonts w:ascii="宋体" w:hAnsi="宋体" w:eastAsia="宋体"/>
          <w:b/>
        </w:rPr>
        <w:t xml:space="preserve"> </w:t>
      </w:r>
    </w:p>
    <w:p>
      <w:pPr>
        <w:pStyle w:val="21"/>
        <w:ind w:firstLine="0"/>
        <w:rPr>
          <w:rFonts w:ascii="宋体" w:hAnsi="宋体" w:eastAsia="宋体"/>
        </w:rPr>
      </w:pPr>
      <w:bookmarkStart w:id="18" w:name="_Toc151023052"/>
      <w:r>
        <w:rPr>
          <w:rFonts w:ascii="宋体" w:hAnsi="宋体" w:eastAsia="宋体"/>
        </w:rPr>
        <w:t>本规定自 2024 年 X 月 X 日起施行。</w:t>
      </w:r>
      <w:bookmarkEnd w:id="18"/>
      <w:r>
        <w:rPr>
          <w:rFonts w:ascii="宋体" w:hAnsi="宋体" w:eastAsia="宋体"/>
        </w:rPr>
        <w:t xml:space="preserve"> </w:t>
      </w:r>
    </w:p>
    <w:sectPr>
      <w:headerReference r:id="rId7" w:type="first"/>
      <w:footerReference r:id="rId10" w:type="first"/>
      <w:headerReference r:id="rId5" w:type="default"/>
      <w:footerReference r:id="rId8" w:type="default"/>
      <w:headerReference r:id="rId6" w:type="even"/>
      <w:footerReference r:id="rId9" w:type="even"/>
      <w:pgSz w:w="11906" w:h="16838"/>
      <w:pgMar w:top="1701" w:right="1701" w:bottom="1701" w:left="1701" w:header="720" w:footer="992"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文泉驿微米黑"/>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等线">
    <w:altName w:val="方正仿宋简体"/>
    <w:panose1 w:val="02010600030101010101"/>
    <w:charset w:val="86"/>
    <w:family w:val="auto"/>
    <w:pitch w:val="default"/>
    <w:sig w:usb0="00000000" w:usb1="00000000" w:usb2="00000016" w:usb3="00000000" w:csb0="0004000F" w:csb1="00000000"/>
  </w:font>
  <w:font w:name="方正仿宋简体">
    <w:panose1 w:val="02010601030101010101"/>
    <w:charset w:val="86"/>
    <w:family w:val="auto"/>
    <w:pitch w:val="default"/>
    <w:sig w:usb0="00000001" w:usb1="080E0000" w:usb2="00000000" w:usb3="00000000" w:csb0="00040000"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微软雅黑">
    <w:altName w:val="黑体"/>
    <w:panose1 w:val="020B0503020204020204"/>
    <w:charset w:val="86"/>
    <w:family w:val="swiss"/>
    <w:pitch w:val="default"/>
    <w:sig w:usb0="00000000" w:usb1="00000000" w:usb2="00000016" w:usb3="00000000" w:csb0="0004001F" w:csb1="00000000"/>
  </w:font>
  <w:font w:name="楷体">
    <w:altName w:val="文泉驿微米黑"/>
    <w:panose1 w:val="02010609060101010101"/>
    <w:charset w:val="86"/>
    <w:family w:val="modern"/>
    <w:pitch w:val="default"/>
    <w:sig w:usb0="00000000" w:usb1="00000000" w:usb2="00000016" w:usb3="00000000" w:csb0="00040001" w:csb1="00000000"/>
  </w:font>
  <w:font w:name="等线 Light">
    <w:altName w:val="方正仿宋简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Light">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ascii="仿宋" w:hAnsi="仿宋" w:eastAsia="仿宋"/>
      </w:rPr>
      <w:fldChar w:fldCharType="begin"/>
    </w:r>
    <w:r>
      <w:instrText xml:space="preserve"> PAGE   \* MERGEFORMAT </w:instrText>
    </w:r>
    <w:r>
      <w:rPr>
        <w:rFonts w:ascii="仿宋" w:hAnsi="仿宋" w:eastAsia="仿宋"/>
      </w:rPr>
      <w:fldChar w:fldCharType="separate"/>
    </w:r>
    <w:r>
      <w:rPr>
        <w:rFonts w:ascii="Calibri" w:hAnsi="Calibri" w:eastAsia="Calibri" w:cs="Calibri"/>
        <w:sz w:val="18"/>
      </w:rPr>
      <w:t>9</w:t>
    </w:r>
    <w:r>
      <w:rPr>
        <w:rFonts w:ascii="Calibri" w:hAnsi="Calibri" w:eastAsia="Calibri" w:cs="Calibri"/>
        <w:sz w:val="18"/>
      </w:rPr>
      <w:fldChar w:fldCharType="end"/>
    </w:r>
  </w:p>
  <w:p>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ascii="仿宋" w:hAnsi="仿宋" w:eastAsia="仿宋"/>
      </w:rPr>
      <w:fldChar w:fldCharType="begin"/>
    </w:r>
    <w:r>
      <w:instrText xml:space="preserve"> PAGE   \* MERGEFORMAT </w:instrText>
    </w:r>
    <w:r>
      <w:rPr>
        <w:rFonts w:ascii="仿宋" w:hAnsi="仿宋" w:eastAsia="仿宋"/>
      </w:rPr>
      <w:fldChar w:fldCharType="separate"/>
    </w:r>
    <w:r>
      <w:rPr>
        <w:rFonts w:ascii="Calibri" w:hAnsi="Calibri" w:eastAsia="Calibri" w:cs="Calibri"/>
        <w:sz w:val="18"/>
      </w:rPr>
      <w:t>1</w:t>
    </w:r>
    <w:r>
      <w:rPr>
        <w:rFonts w:ascii="Calibri" w:hAnsi="Calibri" w:eastAsia="Calibri" w:cs="Calibri"/>
        <w:sz w:val="18"/>
      </w:rPr>
      <w:fldChar w:fldCharType="end"/>
    </w:r>
    <w:r>
      <w:rPr>
        <w:rFonts w:ascii="Calibri" w:hAnsi="Calibri" w:eastAsia="Calibri" w:cs="Calibri"/>
        <w:sz w:val="18"/>
      </w:rPr>
      <w:t xml:space="preserve"> </w:t>
    </w:r>
  </w:p>
  <w:p>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ascii="仿宋" w:hAnsi="仿宋" w:eastAsia="仿宋"/>
      </w:rPr>
      <w:fldChar w:fldCharType="begin"/>
    </w:r>
    <w:r>
      <w:instrText xml:space="preserve"> PAGE   \* MERGEFORMAT </w:instrText>
    </w:r>
    <w:r>
      <w:rPr>
        <w:rFonts w:ascii="仿宋" w:hAnsi="仿宋" w:eastAsia="仿宋"/>
      </w:rPr>
      <w:fldChar w:fldCharType="separate"/>
    </w:r>
    <w:r>
      <w:rPr>
        <w:rFonts w:ascii="Calibri" w:hAnsi="Calibri" w:eastAsia="Calibri" w:cs="Calibri"/>
        <w:sz w:val="18"/>
      </w:rPr>
      <w:t>1</w:t>
    </w:r>
    <w:r>
      <w:rPr>
        <w:rFonts w:ascii="Calibri" w:hAnsi="Calibri" w:eastAsia="Calibri" w:cs="Calibri"/>
        <w:sz w:val="18"/>
      </w:rPr>
      <w:fldChar w:fldCharType="end"/>
    </w:r>
    <w:r>
      <w:rPr>
        <w:rFonts w:ascii="Calibri" w:hAnsi="Calibri" w:eastAsia="Calibri" w:cs="Calibri"/>
        <w:sz w:val="18"/>
      </w:rPr>
      <w:t xml:space="preserve"> </w:t>
    </w:r>
  </w:p>
  <w:p>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F536E0"/>
    <w:multiLevelType w:val="multilevel"/>
    <w:tmpl w:val="22F536E0"/>
    <w:lvl w:ilvl="0" w:tentative="0">
      <w:start w:val="1"/>
      <w:numFmt w:val="chineseCountingThousand"/>
      <w:pStyle w:val="21"/>
      <w:lvlText w:val="第%1条"/>
      <w:lvlJc w:val="center"/>
      <w:pPr>
        <w:ind w:left="987" w:hanging="420"/>
      </w:pPr>
      <w:rPr>
        <w:rFonts w:hint="eastAsia" w:ascii="宋体" w:hAnsi="宋体" w:eastAsia="宋体"/>
        <w:b/>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9D8"/>
    <w:rsid w:val="000004D1"/>
    <w:rsid w:val="00000838"/>
    <w:rsid w:val="0000087C"/>
    <w:rsid w:val="00000A21"/>
    <w:rsid w:val="00000DFE"/>
    <w:rsid w:val="000014F3"/>
    <w:rsid w:val="00001E23"/>
    <w:rsid w:val="00002480"/>
    <w:rsid w:val="00003ED0"/>
    <w:rsid w:val="000104F7"/>
    <w:rsid w:val="00011CC2"/>
    <w:rsid w:val="00013649"/>
    <w:rsid w:val="00014727"/>
    <w:rsid w:val="00014ED9"/>
    <w:rsid w:val="00015D0F"/>
    <w:rsid w:val="00016118"/>
    <w:rsid w:val="00016B47"/>
    <w:rsid w:val="00017CC7"/>
    <w:rsid w:val="000219C8"/>
    <w:rsid w:val="00021B25"/>
    <w:rsid w:val="00023F80"/>
    <w:rsid w:val="00024F9A"/>
    <w:rsid w:val="00026D50"/>
    <w:rsid w:val="00027F70"/>
    <w:rsid w:val="0003083C"/>
    <w:rsid w:val="00033B8D"/>
    <w:rsid w:val="00034D4E"/>
    <w:rsid w:val="00035DBF"/>
    <w:rsid w:val="000362E4"/>
    <w:rsid w:val="000376BD"/>
    <w:rsid w:val="00037DC5"/>
    <w:rsid w:val="00042AAC"/>
    <w:rsid w:val="00042CB8"/>
    <w:rsid w:val="00044AFC"/>
    <w:rsid w:val="000460C0"/>
    <w:rsid w:val="00047F68"/>
    <w:rsid w:val="00050738"/>
    <w:rsid w:val="000517FF"/>
    <w:rsid w:val="00051F59"/>
    <w:rsid w:val="00053E02"/>
    <w:rsid w:val="00055F81"/>
    <w:rsid w:val="00056D2D"/>
    <w:rsid w:val="00060BD6"/>
    <w:rsid w:val="000612FB"/>
    <w:rsid w:val="00061EA7"/>
    <w:rsid w:val="0006268E"/>
    <w:rsid w:val="000635A2"/>
    <w:rsid w:val="0006606E"/>
    <w:rsid w:val="00066268"/>
    <w:rsid w:val="00067B91"/>
    <w:rsid w:val="0007009E"/>
    <w:rsid w:val="00070ABB"/>
    <w:rsid w:val="00071C72"/>
    <w:rsid w:val="00073741"/>
    <w:rsid w:val="000744AA"/>
    <w:rsid w:val="0007511A"/>
    <w:rsid w:val="00076248"/>
    <w:rsid w:val="000774B3"/>
    <w:rsid w:val="00080581"/>
    <w:rsid w:val="00081E49"/>
    <w:rsid w:val="00081FD3"/>
    <w:rsid w:val="00082060"/>
    <w:rsid w:val="00082444"/>
    <w:rsid w:val="0008479F"/>
    <w:rsid w:val="00085088"/>
    <w:rsid w:val="000874D7"/>
    <w:rsid w:val="00087CC3"/>
    <w:rsid w:val="000900FC"/>
    <w:rsid w:val="000944EA"/>
    <w:rsid w:val="000951A1"/>
    <w:rsid w:val="00096059"/>
    <w:rsid w:val="000964B6"/>
    <w:rsid w:val="00096C6A"/>
    <w:rsid w:val="000A0FF4"/>
    <w:rsid w:val="000A3EA4"/>
    <w:rsid w:val="000A4ADB"/>
    <w:rsid w:val="000A4D9B"/>
    <w:rsid w:val="000B1E21"/>
    <w:rsid w:val="000B3104"/>
    <w:rsid w:val="000B36BD"/>
    <w:rsid w:val="000B43EF"/>
    <w:rsid w:val="000B58CC"/>
    <w:rsid w:val="000B5BE7"/>
    <w:rsid w:val="000B703A"/>
    <w:rsid w:val="000C38CA"/>
    <w:rsid w:val="000C3948"/>
    <w:rsid w:val="000C47DD"/>
    <w:rsid w:val="000C4E51"/>
    <w:rsid w:val="000C5161"/>
    <w:rsid w:val="000C64F3"/>
    <w:rsid w:val="000C6E30"/>
    <w:rsid w:val="000C7917"/>
    <w:rsid w:val="000D153B"/>
    <w:rsid w:val="000D232B"/>
    <w:rsid w:val="000D237D"/>
    <w:rsid w:val="000D5707"/>
    <w:rsid w:val="000D6249"/>
    <w:rsid w:val="000D65BB"/>
    <w:rsid w:val="000D6A9D"/>
    <w:rsid w:val="000D72C5"/>
    <w:rsid w:val="000D7DAB"/>
    <w:rsid w:val="000E22AD"/>
    <w:rsid w:val="000E6436"/>
    <w:rsid w:val="000E6463"/>
    <w:rsid w:val="000E74D1"/>
    <w:rsid w:val="000E776C"/>
    <w:rsid w:val="000F108D"/>
    <w:rsid w:val="000F222F"/>
    <w:rsid w:val="000F28A6"/>
    <w:rsid w:val="000F6C43"/>
    <w:rsid w:val="00100743"/>
    <w:rsid w:val="0010159D"/>
    <w:rsid w:val="00107395"/>
    <w:rsid w:val="00107B74"/>
    <w:rsid w:val="00107E49"/>
    <w:rsid w:val="001100A2"/>
    <w:rsid w:val="0011114B"/>
    <w:rsid w:val="00112285"/>
    <w:rsid w:val="001122D8"/>
    <w:rsid w:val="00112821"/>
    <w:rsid w:val="001134EE"/>
    <w:rsid w:val="00113F24"/>
    <w:rsid w:val="001156F4"/>
    <w:rsid w:val="00115A2A"/>
    <w:rsid w:val="0012220C"/>
    <w:rsid w:val="00123136"/>
    <w:rsid w:val="0013111C"/>
    <w:rsid w:val="0013597D"/>
    <w:rsid w:val="00137C08"/>
    <w:rsid w:val="00142AB2"/>
    <w:rsid w:val="00144441"/>
    <w:rsid w:val="00144E40"/>
    <w:rsid w:val="001460EB"/>
    <w:rsid w:val="001467E0"/>
    <w:rsid w:val="00146BC1"/>
    <w:rsid w:val="00147247"/>
    <w:rsid w:val="00151654"/>
    <w:rsid w:val="00151B9D"/>
    <w:rsid w:val="00153235"/>
    <w:rsid w:val="00154A37"/>
    <w:rsid w:val="00155ECC"/>
    <w:rsid w:val="00157817"/>
    <w:rsid w:val="001601D9"/>
    <w:rsid w:val="00160D5F"/>
    <w:rsid w:val="001618DC"/>
    <w:rsid w:val="00162401"/>
    <w:rsid w:val="001631E3"/>
    <w:rsid w:val="001632EC"/>
    <w:rsid w:val="001633B5"/>
    <w:rsid w:val="00166BF4"/>
    <w:rsid w:val="0017053D"/>
    <w:rsid w:val="00172319"/>
    <w:rsid w:val="00173351"/>
    <w:rsid w:val="001741A2"/>
    <w:rsid w:val="0017437A"/>
    <w:rsid w:val="00175094"/>
    <w:rsid w:val="0017517F"/>
    <w:rsid w:val="0017608F"/>
    <w:rsid w:val="0017616E"/>
    <w:rsid w:val="00181A21"/>
    <w:rsid w:val="00182CE8"/>
    <w:rsid w:val="00183C61"/>
    <w:rsid w:val="00184CC4"/>
    <w:rsid w:val="001853E6"/>
    <w:rsid w:val="00191B9D"/>
    <w:rsid w:val="00193449"/>
    <w:rsid w:val="0019556C"/>
    <w:rsid w:val="00196045"/>
    <w:rsid w:val="00196823"/>
    <w:rsid w:val="001969BC"/>
    <w:rsid w:val="00196ED7"/>
    <w:rsid w:val="001A04D5"/>
    <w:rsid w:val="001A18E2"/>
    <w:rsid w:val="001A351C"/>
    <w:rsid w:val="001A396B"/>
    <w:rsid w:val="001A5199"/>
    <w:rsid w:val="001A5411"/>
    <w:rsid w:val="001B07C0"/>
    <w:rsid w:val="001B18FC"/>
    <w:rsid w:val="001B3050"/>
    <w:rsid w:val="001B3260"/>
    <w:rsid w:val="001B35D7"/>
    <w:rsid w:val="001B3601"/>
    <w:rsid w:val="001B6DE1"/>
    <w:rsid w:val="001B7944"/>
    <w:rsid w:val="001C2415"/>
    <w:rsid w:val="001C2894"/>
    <w:rsid w:val="001C4181"/>
    <w:rsid w:val="001C5F50"/>
    <w:rsid w:val="001C778B"/>
    <w:rsid w:val="001C7ECE"/>
    <w:rsid w:val="001D09ED"/>
    <w:rsid w:val="001D1BFF"/>
    <w:rsid w:val="001D2411"/>
    <w:rsid w:val="001D357C"/>
    <w:rsid w:val="001D497B"/>
    <w:rsid w:val="001D57BB"/>
    <w:rsid w:val="001D5DD6"/>
    <w:rsid w:val="001D678F"/>
    <w:rsid w:val="001D7A78"/>
    <w:rsid w:val="001E127A"/>
    <w:rsid w:val="001E20DA"/>
    <w:rsid w:val="001E3735"/>
    <w:rsid w:val="001E3ECC"/>
    <w:rsid w:val="001E5617"/>
    <w:rsid w:val="001E66DC"/>
    <w:rsid w:val="001E69FE"/>
    <w:rsid w:val="001F0B9E"/>
    <w:rsid w:val="001F1106"/>
    <w:rsid w:val="001F21FB"/>
    <w:rsid w:val="001F32E1"/>
    <w:rsid w:val="001F51EB"/>
    <w:rsid w:val="001F5F85"/>
    <w:rsid w:val="00202C89"/>
    <w:rsid w:val="00202FC1"/>
    <w:rsid w:val="002031C9"/>
    <w:rsid w:val="002040BE"/>
    <w:rsid w:val="0020457A"/>
    <w:rsid w:val="00205284"/>
    <w:rsid w:val="00205B15"/>
    <w:rsid w:val="00205D8A"/>
    <w:rsid w:val="002063A3"/>
    <w:rsid w:val="002064F3"/>
    <w:rsid w:val="00206D39"/>
    <w:rsid w:val="00206D86"/>
    <w:rsid w:val="00207BB1"/>
    <w:rsid w:val="00210A5A"/>
    <w:rsid w:val="00211C62"/>
    <w:rsid w:val="002121DE"/>
    <w:rsid w:val="00212C87"/>
    <w:rsid w:val="00215BBB"/>
    <w:rsid w:val="002171AE"/>
    <w:rsid w:val="0021764E"/>
    <w:rsid w:val="002223D4"/>
    <w:rsid w:val="00222D95"/>
    <w:rsid w:val="00227558"/>
    <w:rsid w:val="00231102"/>
    <w:rsid w:val="0023180E"/>
    <w:rsid w:val="00232108"/>
    <w:rsid w:val="002328BD"/>
    <w:rsid w:val="00234919"/>
    <w:rsid w:val="00234D44"/>
    <w:rsid w:val="00235762"/>
    <w:rsid w:val="00236500"/>
    <w:rsid w:val="00240A75"/>
    <w:rsid w:val="0024199F"/>
    <w:rsid w:val="00242E6A"/>
    <w:rsid w:val="00243F96"/>
    <w:rsid w:val="0024535B"/>
    <w:rsid w:val="002459F3"/>
    <w:rsid w:val="00246260"/>
    <w:rsid w:val="00246C1A"/>
    <w:rsid w:val="002510AA"/>
    <w:rsid w:val="0025141B"/>
    <w:rsid w:val="00253EC5"/>
    <w:rsid w:val="00254B1F"/>
    <w:rsid w:val="00257C86"/>
    <w:rsid w:val="00257C89"/>
    <w:rsid w:val="0026138D"/>
    <w:rsid w:val="0026162F"/>
    <w:rsid w:val="00262F5F"/>
    <w:rsid w:val="00264B08"/>
    <w:rsid w:val="00267F79"/>
    <w:rsid w:val="00272050"/>
    <w:rsid w:val="0027268C"/>
    <w:rsid w:val="00273C3D"/>
    <w:rsid w:val="0027446A"/>
    <w:rsid w:val="002745B7"/>
    <w:rsid w:val="0027547A"/>
    <w:rsid w:val="00275518"/>
    <w:rsid w:val="0027560E"/>
    <w:rsid w:val="00275889"/>
    <w:rsid w:val="00281B3D"/>
    <w:rsid w:val="002919AD"/>
    <w:rsid w:val="00292910"/>
    <w:rsid w:val="002973AF"/>
    <w:rsid w:val="002A3EDA"/>
    <w:rsid w:val="002A5628"/>
    <w:rsid w:val="002A72E8"/>
    <w:rsid w:val="002B1BCE"/>
    <w:rsid w:val="002B308D"/>
    <w:rsid w:val="002B3D77"/>
    <w:rsid w:val="002B5005"/>
    <w:rsid w:val="002B5359"/>
    <w:rsid w:val="002C0323"/>
    <w:rsid w:val="002C0858"/>
    <w:rsid w:val="002C148E"/>
    <w:rsid w:val="002C2ECD"/>
    <w:rsid w:val="002C32C2"/>
    <w:rsid w:val="002C475B"/>
    <w:rsid w:val="002C5680"/>
    <w:rsid w:val="002C5CF9"/>
    <w:rsid w:val="002D0D59"/>
    <w:rsid w:val="002D1099"/>
    <w:rsid w:val="002D18A8"/>
    <w:rsid w:val="002D359D"/>
    <w:rsid w:val="002D46AD"/>
    <w:rsid w:val="002D6E15"/>
    <w:rsid w:val="002D6FD1"/>
    <w:rsid w:val="002D7102"/>
    <w:rsid w:val="002E0714"/>
    <w:rsid w:val="002E0838"/>
    <w:rsid w:val="002E12CD"/>
    <w:rsid w:val="002E14D8"/>
    <w:rsid w:val="002E348F"/>
    <w:rsid w:val="002E4ACE"/>
    <w:rsid w:val="002E520F"/>
    <w:rsid w:val="002E5667"/>
    <w:rsid w:val="002F0317"/>
    <w:rsid w:val="002F10E5"/>
    <w:rsid w:val="002F329E"/>
    <w:rsid w:val="002F3D92"/>
    <w:rsid w:val="002F4093"/>
    <w:rsid w:val="002F432A"/>
    <w:rsid w:val="002F48A4"/>
    <w:rsid w:val="002F6F6A"/>
    <w:rsid w:val="0030173B"/>
    <w:rsid w:val="00302CD0"/>
    <w:rsid w:val="00304EBC"/>
    <w:rsid w:val="00307134"/>
    <w:rsid w:val="00310A13"/>
    <w:rsid w:val="00313F7D"/>
    <w:rsid w:val="00314792"/>
    <w:rsid w:val="003148A0"/>
    <w:rsid w:val="003152F5"/>
    <w:rsid w:val="00316152"/>
    <w:rsid w:val="003161C7"/>
    <w:rsid w:val="00320079"/>
    <w:rsid w:val="003206E8"/>
    <w:rsid w:val="00321879"/>
    <w:rsid w:val="00324FB2"/>
    <w:rsid w:val="003256AD"/>
    <w:rsid w:val="00326157"/>
    <w:rsid w:val="00331197"/>
    <w:rsid w:val="00331367"/>
    <w:rsid w:val="003314A8"/>
    <w:rsid w:val="00331715"/>
    <w:rsid w:val="00332930"/>
    <w:rsid w:val="00332C87"/>
    <w:rsid w:val="00333077"/>
    <w:rsid w:val="00333596"/>
    <w:rsid w:val="0033571A"/>
    <w:rsid w:val="00335C20"/>
    <w:rsid w:val="003360D3"/>
    <w:rsid w:val="0033671E"/>
    <w:rsid w:val="003374F5"/>
    <w:rsid w:val="0034191F"/>
    <w:rsid w:val="003424EA"/>
    <w:rsid w:val="003438F2"/>
    <w:rsid w:val="00346489"/>
    <w:rsid w:val="003504E2"/>
    <w:rsid w:val="003508EB"/>
    <w:rsid w:val="003523AD"/>
    <w:rsid w:val="003547AF"/>
    <w:rsid w:val="00355994"/>
    <w:rsid w:val="00357103"/>
    <w:rsid w:val="00357A2B"/>
    <w:rsid w:val="003605AC"/>
    <w:rsid w:val="00361B8C"/>
    <w:rsid w:val="00361BFB"/>
    <w:rsid w:val="00363699"/>
    <w:rsid w:val="00363808"/>
    <w:rsid w:val="00363CB9"/>
    <w:rsid w:val="003659BF"/>
    <w:rsid w:val="00366740"/>
    <w:rsid w:val="00366CE8"/>
    <w:rsid w:val="00367562"/>
    <w:rsid w:val="00370A98"/>
    <w:rsid w:val="00370E8D"/>
    <w:rsid w:val="00372362"/>
    <w:rsid w:val="003733AA"/>
    <w:rsid w:val="00373A74"/>
    <w:rsid w:val="00374709"/>
    <w:rsid w:val="003754BF"/>
    <w:rsid w:val="00376209"/>
    <w:rsid w:val="003802F2"/>
    <w:rsid w:val="00381C00"/>
    <w:rsid w:val="00383132"/>
    <w:rsid w:val="003863B0"/>
    <w:rsid w:val="003900BE"/>
    <w:rsid w:val="00390390"/>
    <w:rsid w:val="00393403"/>
    <w:rsid w:val="003A091B"/>
    <w:rsid w:val="003A426C"/>
    <w:rsid w:val="003A64E7"/>
    <w:rsid w:val="003A6E2B"/>
    <w:rsid w:val="003A713F"/>
    <w:rsid w:val="003A7B25"/>
    <w:rsid w:val="003B1EC4"/>
    <w:rsid w:val="003B4788"/>
    <w:rsid w:val="003B52B9"/>
    <w:rsid w:val="003B76F1"/>
    <w:rsid w:val="003B77F5"/>
    <w:rsid w:val="003C0692"/>
    <w:rsid w:val="003C33AA"/>
    <w:rsid w:val="003C5C2D"/>
    <w:rsid w:val="003C6E2A"/>
    <w:rsid w:val="003C6FFF"/>
    <w:rsid w:val="003D08E2"/>
    <w:rsid w:val="003D3522"/>
    <w:rsid w:val="003D3CAC"/>
    <w:rsid w:val="003D4958"/>
    <w:rsid w:val="003D5068"/>
    <w:rsid w:val="003D5D93"/>
    <w:rsid w:val="003D62BC"/>
    <w:rsid w:val="003E4749"/>
    <w:rsid w:val="003E50F1"/>
    <w:rsid w:val="003E5436"/>
    <w:rsid w:val="003E5837"/>
    <w:rsid w:val="003E61C5"/>
    <w:rsid w:val="003F0C1B"/>
    <w:rsid w:val="003F1220"/>
    <w:rsid w:val="003F17FD"/>
    <w:rsid w:val="003F290B"/>
    <w:rsid w:val="003F44FE"/>
    <w:rsid w:val="003F563B"/>
    <w:rsid w:val="003F76E3"/>
    <w:rsid w:val="00400751"/>
    <w:rsid w:val="0040088A"/>
    <w:rsid w:val="004010C6"/>
    <w:rsid w:val="00401E63"/>
    <w:rsid w:val="00402C31"/>
    <w:rsid w:val="00402F7B"/>
    <w:rsid w:val="00403527"/>
    <w:rsid w:val="004061EA"/>
    <w:rsid w:val="00407124"/>
    <w:rsid w:val="004071B1"/>
    <w:rsid w:val="00411D43"/>
    <w:rsid w:val="004126BB"/>
    <w:rsid w:val="004144C4"/>
    <w:rsid w:val="00415C97"/>
    <w:rsid w:val="0041762D"/>
    <w:rsid w:val="004207B9"/>
    <w:rsid w:val="00421E03"/>
    <w:rsid w:val="00423232"/>
    <w:rsid w:val="004233FF"/>
    <w:rsid w:val="00423E0F"/>
    <w:rsid w:val="004262F1"/>
    <w:rsid w:val="004305BE"/>
    <w:rsid w:val="00430E04"/>
    <w:rsid w:val="0043165E"/>
    <w:rsid w:val="00433BB5"/>
    <w:rsid w:val="00434139"/>
    <w:rsid w:val="00436356"/>
    <w:rsid w:val="0044209F"/>
    <w:rsid w:val="004421E6"/>
    <w:rsid w:val="0044304B"/>
    <w:rsid w:val="004450C6"/>
    <w:rsid w:val="00446AD6"/>
    <w:rsid w:val="0045092E"/>
    <w:rsid w:val="00450BB8"/>
    <w:rsid w:val="00453414"/>
    <w:rsid w:val="004555AA"/>
    <w:rsid w:val="00455809"/>
    <w:rsid w:val="00461060"/>
    <w:rsid w:val="00461AC8"/>
    <w:rsid w:val="00461B12"/>
    <w:rsid w:val="00462A05"/>
    <w:rsid w:val="004631BD"/>
    <w:rsid w:val="00463475"/>
    <w:rsid w:val="00464812"/>
    <w:rsid w:val="00466250"/>
    <w:rsid w:val="00466E0B"/>
    <w:rsid w:val="00467E09"/>
    <w:rsid w:val="00470774"/>
    <w:rsid w:val="00471203"/>
    <w:rsid w:val="00474A8A"/>
    <w:rsid w:val="004755AE"/>
    <w:rsid w:val="00475C97"/>
    <w:rsid w:val="004764F3"/>
    <w:rsid w:val="004812CD"/>
    <w:rsid w:val="004850CC"/>
    <w:rsid w:val="00490D4A"/>
    <w:rsid w:val="0049409F"/>
    <w:rsid w:val="00495270"/>
    <w:rsid w:val="0049788E"/>
    <w:rsid w:val="004A286B"/>
    <w:rsid w:val="004A52CE"/>
    <w:rsid w:val="004A5B3C"/>
    <w:rsid w:val="004A611B"/>
    <w:rsid w:val="004A777D"/>
    <w:rsid w:val="004B0045"/>
    <w:rsid w:val="004B2463"/>
    <w:rsid w:val="004B2A7A"/>
    <w:rsid w:val="004B3AA8"/>
    <w:rsid w:val="004B3EEB"/>
    <w:rsid w:val="004B4498"/>
    <w:rsid w:val="004B45E1"/>
    <w:rsid w:val="004B72FB"/>
    <w:rsid w:val="004C1FC6"/>
    <w:rsid w:val="004C248F"/>
    <w:rsid w:val="004C35A5"/>
    <w:rsid w:val="004C3FE0"/>
    <w:rsid w:val="004C43E7"/>
    <w:rsid w:val="004C5EC8"/>
    <w:rsid w:val="004D33B3"/>
    <w:rsid w:val="004D3793"/>
    <w:rsid w:val="004D3EE1"/>
    <w:rsid w:val="004D4153"/>
    <w:rsid w:val="004D4709"/>
    <w:rsid w:val="004D498F"/>
    <w:rsid w:val="004D4CFF"/>
    <w:rsid w:val="004D64A4"/>
    <w:rsid w:val="004E0C6C"/>
    <w:rsid w:val="004E1998"/>
    <w:rsid w:val="004E3ACD"/>
    <w:rsid w:val="004E3C8A"/>
    <w:rsid w:val="004E43F3"/>
    <w:rsid w:val="004E4DDD"/>
    <w:rsid w:val="004E57D5"/>
    <w:rsid w:val="004E5986"/>
    <w:rsid w:val="004E6FBC"/>
    <w:rsid w:val="004E715C"/>
    <w:rsid w:val="004F011E"/>
    <w:rsid w:val="004F04A4"/>
    <w:rsid w:val="004F0CDE"/>
    <w:rsid w:val="004F0CE1"/>
    <w:rsid w:val="004F1633"/>
    <w:rsid w:val="004F284A"/>
    <w:rsid w:val="004F5EC0"/>
    <w:rsid w:val="004F7273"/>
    <w:rsid w:val="00500389"/>
    <w:rsid w:val="005024F5"/>
    <w:rsid w:val="00502536"/>
    <w:rsid w:val="00503658"/>
    <w:rsid w:val="00503C4E"/>
    <w:rsid w:val="00504E00"/>
    <w:rsid w:val="005062A2"/>
    <w:rsid w:val="005101E4"/>
    <w:rsid w:val="00510451"/>
    <w:rsid w:val="00510BF9"/>
    <w:rsid w:val="005120D4"/>
    <w:rsid w:val="00512404"/>
    <w:rsid w:val="00512421"/>
    <w:rsid w:val="00512DCB"/>
    <w:rsid w:val="005138FC"/>
    <w:rsid w:val="00514093"/>
    <w:rsid w:val="005148A4"/>
    <w:rsid w:val="005169C6"/>
    <w:rsid w:val="00517AF5"/>
    <w:rsid w:val="00521A02"/>
    <w:rsid w:val="00521D56"/>
    <w:rsid w:val="0052204C"/>
    <w:rsid w:val="00522164"/>
    <w:rsid w:val="005221F1"/>
    <w:rsid w:val="00524E8F"/>
    <w:rsid w:val="005251CB"/>
    <w:rsid w:val="00526F65"/>
    <w:rsid w:val="0052738F"/>
    <w:rsid w:val="0053085E"/>
    <w:rsid w:val="005329AB"/>
    <w:rsid w:val="0053360C"/>
    <w:rsid w:val="00536CAB"/>
    <w:rsid w:val="005402AE"/>
    <w:rsid w:val="005429CA"/>
    <w:rsid w:val="00542B2D"/>
    <w:rsid w:val="00542EFD"/>
    <w:rsid w:val="0054335F"/>
    <w:rsid w:val="0054545C"/>
    <w:rsid w:val="00546841"/>
    <w:rsid w:val="00547B2A"/>
    <w:rsid w:val="00550534"/>
    <w:rsid w:val="005506AD"/>
    <w:rsid w:val="00551F16"/>
    <w:rsid w:val="0055256E"/>
    <w:rsid w:val="00552B74"/>
    <w:rsid w:val="00553006"/>
    <w:rsid w:val="00553365"/>
    <w:rsid w:val="00555644"/>
    <w:rsid w:val="00556E62"/>
    <w:rsid w:val="0056036C"/>
    <w:rsid w:val="00560BE6"/>
    <w:rsid w:val="005619CC"/>
    <w:rsid w:val="00561C50"/>
    <w:rsid w:val="00563DB7"/>
    <w:rsid w:val="005664E5"/>
    <w:rsid w:val="005672DA"/>
    <w:rsid w:val="00570C3C"/>
    <w:rsid w:val="005722EC"/>
    <w:rsid w:val="0057247D"/>
    <w:rsid w:val="00576CC1"/>
    <w:rsid w:val="00577AF4"/>
    <w:rsid w:val="00577D2A"/>
    <w:rsid w:val="005800E9"/>
    <w:rsid w:val="005808FA"/>
    <w:rsid w:val="00581179"/>
    <w:rsid w:val="00583D90"/>
    <w:rsid w:val="00584115"/>
    <w:rsid w:val="00584CE9"/>
    <w:rsid w:val="00584D49"/>
    <w:rsid w:val="0058560B"/>
    <w:rsid w:val="00587C5C"/>
    <w:rsid w:val="00587D86"/>
    <w:rsid w:val="0059226C"/>
    <w:rsid w:val="00592E79"/>
    <w:rsid w:val="00595EBC"/>
    <w:rsid w:val="00597DC7"/>
    <w:rsid w:val="005A02AA"/>
    <w:rsid w:val="005A32D0"/>
    <w:rsid w:val="005A39D7"/>
    <w:rsid w:val="005B00C7"/>
    <w:rsid w:val="005B1C80"/>
    <w:rsid w:val="005B2C29"/>
    <w:rsid w:val="005B3DE6"/>
    <w:rsid w:val="005B4871"/>
    <w:rsid w:val="005B619C"/>
    <w:rsid w:val="005C2184"/>
    <w:rsid w:val="005C36BB"/>
    <w:rsid w:val="005C4841"/>
    <w:rsid w:val="005C4D70"/>
    <w:rsid w:val="005C608D"/>
    <w:rsid w:val="005D0A4E"/>
    <w:rsid w:val="005D0EFC"/>
    <w:rsid w:val="005D2CFE"/>
    <w:rsid w:val="005D439D"/>
    <w:rsid w:val="005D4E6A"/>
    <w:rsid w:val="005D5AAF"/>
    <w:rsid w:val="005D6C32"/>
    <w:rsid w:val="005D782C"/>
    <w:rsid w:val="005E0B03"/>
    <w:rsid w:val="005E15F1"/>
    <w:rsid w:val="005E2B9C"/>
    <w:rsid w:val="005E2FB6"/>
    <w:rsid w:val="005E4EC0"/>
    <w:rsid w:val="005E539F"/>
    <w:rsid w:val="005F0142"/>
    <w:rsid w:val="005F1E43"/>
    <w:rsid w:val="005F37C3"/>
    <w:rsid w:val="005F5E77"/>
    <w:rsid w:val="006006D6"/>
    <w:rsid w:val="006030E5"/>
    <w:rsid w:val="00604464"/>
    <w:rsid w:val="00606D1A"/>
    <w:rsid w:val="00611C44"/>
    <w:rsid w:val="00614C1A"/>
    <w:rsid w:val="00615FC9"/>
    <w:rsid w:val="00617E05"/>
    <w:rsid w:val="00622523"/>
    <w:rsid w:val="00623D57"/>
    <w:rsid w:val="00626678"/>
    <w:rsid w:val="00627FA5"/>
    <w:rsid w:val="00630BA9"/>
    <w:rsid w:val="00637023"/>
    <w:rsid w:val="00637C22"/>
    <w:rsid w:val="006418E4"/>
    <w:rsid w:val="00641F25"/>
    <w:rsid w:val="006421BC"/>
    <w:rsid w:val="00644B4B"/>
    <w:rsid w:val="0064530E"/>
    <w:rsid w:val="006459AF"/>
    <w:rsid w:val="006459B4"/>
    <w:rsid w:val="00645BD0"/>
    <w:rsid w:val="006470F6"/>
    <w:rsid w:val="00647165"/>
    <w:rsid w:val="00647FC5"/>
    <w:rsid w:val="00650F69"/>
    <w:rsid w:val="006535B0"/>
    <w:rsid w:val="00654FCC"/>
    <w:rsid w:val="00655F76"/>
    <w:rsid w:val="0065668C"/>
    <w:rsid w:val="00657C5C"/>
    <w:rsid w:val="006606CC"/>
    <w:rsid w:val="006624F2"/>
    <w:rsid w:val="006651A9"/>
    <w:rsid w:val="00665F0E"/>
    <w:rsid w:val="0066767C"/>
    <w:rsid w:val="00670177"/>
    <w:rsid w:val="00670E86"/>
    <w:rsid w:val="006710BB"/>
    <w:rsid w:val="0067199D"/>
    <w:rsid w:val="00671C1C"/>
    <w:rsid w:val="00674625"/>
    <w:rsid w:val="00675A49"/>
    <w:rsid w:val="00675D1E"/>
    <w:rsid w:val="00675E4B"/>
    <w:rsid w:val="00677020"/>
    <w:rsid w:val="006805B5"/>
    <w:rsid w:val="00680DA0"/>
    <w:rsid w:val="00681D0F"/>
    <w:rsid w:val="006832BC"/>
    <w:rsid w:val="006842E1"/>
    <w:rsid w:val="006850AC"/>
    <w:rsid w:val="006863C1"/>
    <w:rsid w:val="006904D3"/>
    <w:rsid w:val="00692C23"/>
    <w:rsid w:val="00693CB3"/>
    <w:rsid w:val="00697698"/>
    <w:rsid w:val="006A7919"/>
    <w:rsid w:val="006A7D6C"/>
    <w:rsid w:val="006B2092"/>
    <w:rsid w:val="006B3F4A"/>
    <w:rsid w:val="006B5A63"/>
    <w:rsid w:val="006B5F87"/>
    <w:rsid w:val="006B6B5F"/>
    <w:rsid w:val="006C11CE"/>
    <w:rsid w:val="006C26DA"/>
    <w:rsid w:val="006C2FA8"/>
    <w:rsid w:val="006C329D"/>
    <w:rsid w:val="006C49C7"/>
    <w:rsid w:val="006C4BF5"/>
    <w:rsid w:val="006C4D53"/>
    <w:rsid w:val="006C54C8"/>
    <w:rsid w:val="006C617C"/>
    <w:rsid w:val="006C6F7A"/>
    <w:rsid w:val="006C73C2"/>
    <w:rsid w:val="006D0525"/>
    <w:rsid w:val="006D090B"/>
    <w:rsid w:val="006D1310"/>
    <w:rsid w:val="006D604F"/>
    <w:rsid w:val="006D7303"/>
    <w:rsid w:val="006D7998"/>
    <w:rsid w:val="006E0677"/>
    <w:rsid w:val="006E1239"/>
    <w:rsid w:val="006E2309"/>
    <w:rsid w:val="006E27AF"/>
    <w:rsid w:val="006E5AC2"/>
    <w:rsid w:val="006E63FC"/>
    <w:rsid w:val="006E6B10"/>
    <w:rsid w:val="006E7CA0"/>
    <w:rsid w:val="006F14A1"/>
    <w:rsid w:val="006F1C38"/>
    <w:rsid w:val="006F20F9"/>
    <w:rsid w:val="006F35E9"/>
    <w:rsid w:val="006F3694"/>
    <w:rsid w:val="006F4595"/>
    <w:rsid w:val="006F4D74"/>
    <w:rsid w:val="006F76F6"/>
    <w:rsid w:val="0070135F"/>
    <w:rsid w:val="00702836"/>
    <w:rsid w:val="007036C3"/>
    <w:rsid w:val="00704F5D"/>
    <w:rsid w:val="007053D9"/>
    <w:rsid w:val="007105C4"/>
    <w:rsid w:val="00711750"/>
    <w:rsid w:val="007131FB"/>
    <w:rsid w:val="00714CAB"/>
    <w:rsid w:val="0071532B"/>
    <w:rsid w:val="00720F16"/>
    <w:rsid w:val="00722072"/>
    <w:rsid w:val="0072467A"/>
    <w:rsid w:val="00724946"/>
    <w:rsid w:val="00725E90"/>
    <w:rsid w:val="007263E6"/>
    <w:rsid w:val="00727735"/>
    <w:rsid w:val="0073085F"/>
    <w:rsid w:val="00730A52"/>
    <w:rsid w:val="00731250"/>
    <w:rsid w:val="007341D8"/>
    <w:rsid w:val="00736790"/>
    <w:rsid w:val="00737210"/>
    <w:rsid w:val="007426A5"/>
    <w:rsid w:val="00746A78"/>
    <w:rsid w:val="00746C32"/>
    <w:rsid w:val="00751E17"/>
    <w:rsid w:val="007521E0"/>
    <w:rsid w:val="0075464A"/>
    <w:rsid w:val="007576E1"/>
    <w:rsid w:val="007576EE"/>
    <w:rsid w:val="00757965"/>
    <w:rsid w:val="00757F1C"/>
    <w:rsid w:val="00761D47"/>
    <w:rsid w:val="00762841"/>
    <w:rsid w:val="007649D7"/>
    <w:rsid w:val="00765228"/>
    <w:rsid w:val="00765B96"/>
    <w:rsid w:val="00767B25"/>
    <w:rsid w:val="00770657"/>
    <w:rsid w:val="00770A3C"/>
    <w:rsid w:val="00771247"/>
    <w:rsid w:val="007741B9"/>
    <w:rsid w:val="007748D0"/>
    <w:rsid w:val="00775CD8"/>
    <w:rsid w:val="00775ECB"/>
    <w:rsid w:val="00776C21"/>
    <w:rsid w:val="007772F9"/>
    <w:rsid w:val="00777438"/>
    <w:rsid w:val="00777851"/>
    <w:rsid w:val="00780AA3"/>
    <w:rsid w:val="007827F1"/>
    <w:rsid w:val="00783625"/>
    <w:rsid w:val="007866D3"/>
    <w:rsid w:val="00786928"/>
    <w:rsid w:val="00787925"/>
    <w:rsid w:val="00787A51"/>
    <w:rsid w:val="00794340"/>
    <w:rsid w:val="00797620"/>
    <w:rsid w:val="007A0AF2"/>
    <w:rsid w:val="007A0AF8"/>
    <w:rsid w:val="007A0F2F"/>
    <w:rsid w:val="007A2B44"/>
    <w:rsid w:val="007A3ACC"/>
    <w:rsid w:val="007A535C"/>
    <w:rsid w:val="007A6142"/>
    <w:rsid w:val="007A6C05"/>
    <w:rsid w:val="007A7B48"/>
    <w:rsid w:val="007B11FE"/>
    <w:rsid w:val="007B2224"/>
    <w:rsid w:val="007B24A5"/>
    <w:rsid w:val="007B2B24"/>
    <w:rsid w:val="007B3D49"/>
    <w:rsid w:val="007B59A3"/>
    <w:rsid w:val="007B6349"/>
    <w:rsid w:val="007B67DC"/>
    <w:rsid w:val="007B7B84"/>
    <w:rsid w:val="007C0520"/>
    <w:rsid w:val="007D18A3"/>
    <w:rsid w:val="007D3140"/>
    <w:rsid w:val="007D3AA2"/>
    <w:rsid w:val="007D4916"/>
    <w:rsid w:val="007D6129"/>
    <w:rsid w:val="007D62B2"/>
    <w:rsid w:val="007D66A8"/>
    <w:rsid w:val="007D6F75"/>
    <w:rsid w:val="007E020F"/>
    <w:rsid w:val="007E092E"/>
    <w:rsid w:val="007E0FC8"/>
    <w:rsid w:val="007E1242"/>
    <w:rsid w:val="007E18E3"/>
    <w:rsid w:val="007E2704"/>
    <w:rsid w:val="007E6E07"/>
    <w:rsid w:val="007F0BDB"/>
    <w:rsid w:val="007F2AC1"/>
    <w:rsid w:val="007F3006"/>
    <w:rsid w:val="007F303D"/>
    <w:rsid w:val="007F3A40"/>
    <w:rsid w:val="007F3D3C"/>
    <w:rsid w:val="007F4D13"/>
    <w:rsid w:val="007F6E9F"/>
    <w:rsid w:val="007F7F74"/>
    <w:rsid w:val="00801123"/>
    <w:rsid w:val="00801B94"/>
    <w:rsid w:val="00802CCB"/>
    <w:rsid w:val="00803C69"/>
    <w:rsid w:val="008138E9"/>
    <w:rsid w:val="00813B47"/>
    <w:rsid w:val="00814404"/>
    <w:rsid w:val="0081574C"/>
    <w:rsid w:val="0081661B"/>
    <w:rsid w:val="00816C15"/>
    <w:rsid w:val="008170B3"/>
    <w:rsid w:val="00820375"/>
    <w:rsid w:val="00820639"/>
    <w:rsid w:val="00821AA9"/>
    <w:rsid w:val="00823166"/>
    <w:rsid w:val="008235C7"/>
    <w:rsid w:val="00823B95"/>
    <w:rsid w:val="00824507"/>
    <w:rsid w:val="0082450C"/>
    <w:rsid w:val="008248B9"/>
    <w:rsid w:val="0082552D"/>
    <w:rsid w:val="00827EB6"/>
    <w:rsid w:val="00830E76"/>
    <w:rsid w:val="00832079"/>
    <w:rsid w:val="00832339"/>
    <w:rsid w:val="00833750"/>
    <w:rsid w:val="00835FC4"/>
    <w:rsid w:val="00836F29"/>
    <w:rsid w:val="00837A6C"/>
    <w:rsid w:val="00841308"/>
    <w:rsid w:val="00841AF6"/>
    <w:rsid w:val="00842271"/>
    <w:rsid w:val="00844201"/>
    <w:rsid w:val="008443C2"/>
    <w:rsid w:val="008459D8"/>
    <w:rsid w:val="008545AA"/>
    <w:rsid w:val="00857F32"/>
    <w:rsid w:val="00861E4D"/>
    <w:rsid w:val="00861F9D"/>
    <w:rsid w:val="0086471B"/>
    <w:rsid w:val="00865D56"/>
    <w:rsid w:val="008665B4"/>
    <w:rsid w:val="0086690E"/>
    <w:rsid w:val="0087112F"/>
    <w:rsid w:val="00871632"/>
    <w:rsid w:val="008722BD"/>
    <w:rsid w:val="00873D3F"/>
    <w:rsid w:val="0087568A"/>
    <w:rsid w:val="00876F8B"/>
    <w:rsid w:val="00880657"/>
    <w:rsid w:val="00881D29"/>
    <w:rsid w:val="008825CE"/>
    <w:rsid w:val="00884E4B"/>
    <w:rsid w:val="00890E2F"/>
    <w:rsid w:val="00891E16"/>
    <w:rsid w:val="00895C71"/>
    <w:rsid w:val="00896839"/>
    <w:rsid w:val="008A47E3"/>
    <w:rsid w:val="008A4AC1"/>
    <w:rsid w:val="008A589B"/>
    <w:rsid w:val="008A69D9"/>
    <w:rsid w:val="008B1409"/>
    <w:rsid w:val="008B5D36"/>
    <w:rsid w:val="008B6D62"/>
    <w:rsid w:val="008C0FD3"/>
    <w:rsid w:val="008C20B0"/>
    <w:rsid w:val="008C337C"/>
    <w:rsid w:val="008C49A0"/>
    <w:rsid w:val="008C6D28"/>
    <w:rsid w:val="008C76E8"/>
    <w:rsid w:val="008D12D7"/>
    <w:rsid w:val="008D3681"/>
    <w:rsid w:val="008D5142"/>
    <w:rsid w:val="008D7858"/>
    <w:rsid w:val="008E1A55"/>
    <w:rsid w:val="008E3466"/>
    <w:rsid w:val="008E3981"/>
    <w:rsid w:val="008E3C3E"/>
    <w:rsid w:val="008E67C4"/>
    <w:rsid w:val="008F0029"/>
    <w:rsid w:val="008F1EC1"/>
    <w:rsid w:val="008F532B"/>
    <w:rsid w:val="008F77E9"/>
    <w:rsid w:val="00901A8D"/>
    <w:rsid w:val="0090371D"/>
    <w:rsid w:val="00903DE7"/>
    <w:rsid w:val="009041C6"/>
    <w:rsid w:val="009046C9"/>
    <w:rsid w:val="00905207"/>
    <w:rsid w:val="00910A3D"/>
    <w:rsid w:val="009132D1"/>
    <w:rsid w:val="009134E2"/>
    <w:rsid w:val="00913922"/>
    <w:rsid w:val="009145A2"/>
    <w:rsid w:val="00915A33"/>
    <w:rsid w:val="00916F65"/>
    <w:rsid w:val="009179BC"/>
    <w:rsid w:val="0092000E"/>
    <w:rsid w:val="009202C4"/>
    <w:rsid w:val="0092038E"/>
    <w:rsid w:val="0092205C"/>
    <w:rsid w:val="00923ED5"/>
    <w:rsid w:val="00923F6B"/>
    <w:rsid w:val="00925BA8"/>
    <w:rsid w:val="00926588"/>
    <w:rsid w:val="009304C8"/>
    <w:rsid w:val="00930C9C"/>
    <w:rsid w:val="0093280C"/>
    <w:rsid w:val="009351D7"/>
    <w:rsid w:val="00936A28"/>
    <w:rsid w:val="00937CBC"/>
    <w:rsid w:val="009410DF"/>
    <w:rsid w:val="0094124D"/>
    <w:rsid w:val="00942EF2"/>
    <w:rsid w:val="00943038"/>
    <w:rsid w:val="00943F6E"/>
    <w:rsid w:val="009503BF"/>
    <w:rsid w:val="00955FAE"/>
    <w:rsid w:val="00956037"/>
    <w:rsid w:val="009566C9"/>
    <w:rsid w:val="00956974"/>
    <w:rsid w:val="00956F45"/>
    <w:rsid w:val="00963C0F"/>
    <w:rsid w:val="00963DC0"/>
    <w:rsid w:val="00966298"/>
    <w:rsid w:val="00967649"/>
    <w:rsid w:val="00967987"/>
    <w:rsid w:val="00967A9D"/>
    <w:rsid w:val="009733ED"/>
    <w:rsid w:val="00973893"/>
    <w:rsid w:val="00973ACF"/>
    <w:rsid w:val="00973E1B"/>
    <w:rsid w:val="00975EE0"/>
    <w:rsid w:val="009807A3"/>
    <w:rsid w:val="00983303"/>
    <w:rsid w:val="00983320"/>
    <w:rsid w:val="009838A2"/>
    <w:rsid w:val="0098478C"/>
    <w:rsid w:val="00986C6E"/>
    <w:rsid w:val="00987144"/>
    <w:rsid w:val="0099157A"/>
    <w:rsid w:val="00992F8C"/>
    <w:rsid w:val="00995425"/>
    <w:rsid w:val="009974D5"/>
    <w:rsid w:val="009A090A"/>
    <w:rsid w:val="009A229B"/>
    <w:rsid w:val="009A288C"/>
    <w:rsid w:val="009A374D"/>
    <w:rsid w:val="009A5BB1"/>
    <w:rsid w:val="009A5EE6"/>
    <w:rsid w:val="009A6F78"/>
    <w:rsid w:val="009A76B6"/>
    <w:rsid w:val="009B0171"/>
    <w:rsid w:val="009B0313"/>
    <w:rsid w:val="009B1375"/>
    <w:rsid w:val="009B7136"/>
    <w:rsid w:val="009C0685"/>
    <w:rsid w:val="009C0720"/>
    <w:rsid w:val="009C2F40"/>
    <w:rsid w:val="009C331B"/>
    <w:rsid w:val="009C43C4"/>
    <w:rsid w:val="009C6190"/>
    <w:rsid w:val="009D1DC3"/>
    <w:rsid w:val="009D4048"/>
    <w:rsid w:val="009D5DA7"/>
    <w:rsid w:val="009D5F0C"/>
    <w:rsid w:val="009D62AB"/>
    <w:rsid w:val="009D727C"/>
    <w:rsid w:val="009E1CA9"/>
    <w:rsid w:val="009E483C"/>
    <w:rsid w:val="009E4DE6"/>
    <w:rsid w:val="009E7E37"/>
    <w:rsid w:val="009E7F15"/>
    <w:rsid w:val="009F108E"/>
    <w:rsid w:val="009F325C"/>
    <w:rsid w:val="009F3C76"/>
    <w:rsid w:val="009F3D90"/>
    <w:rsid w:val="009F5020"/>
    <w:rsid w:val="009F5817"/>
    <w:rsid w:val="009F6EC7"/>
    <w:rsid w:val="009F7B8F"/>
    <w:rsid w:val="00A006FE"/>
    <w:rsid w:val="00A01070"/>
    <w:rsid w:val="00A02F87"/>
    <w:rsid w:val="00A030CE"/>
    <w:rsid w:val="00A032B8"/>
    <w:rsid w:val="00A04B80"/>
    <w:rsid w:val="00A05830"/>
    <w:rsid w:val="00A0662F"/>
    <w:rsid w:val="00A11456"/>
    <w:rsid w:val="00A1147C"/>
    <w:rsid w:val="00A1196D"/>
    <w:rsid w:val="00A11E40"/>
    <w:rsid w:val="00A127AA"/>
    <w:rsid w:val="00A13B54"/>
    <w:rsid w:val="00A14508"/>
    <w:rsid w:val="00A167A6"/>
    <w:rsid w:val="00A173D4"/>
    <w:rsid w:val="00A22DA9"/>
    <w:rsid w:val="00A22EBB"/>
    <w:rsid w:val="00A24AE1"/>
    <w:rsid w:val="00A25C11"/>
    <w:rsid w:val="00A26345"/>
    <w:rsid w:val="00A264F6"/>
    <w:rsid w:val="00A26943"/>
    <w:rsid w:val="00A26D42"/>
    <w:rsid w:val="00A27663"/>
    <w:rsid w:val="00A276A5"/>
    <w:rsid w:val="00A31DD7"/>
    <w:rsid w:val="00A33AB3"/>
    <w:rsid w:val="00A34730"/>
    <w:rsid w:val="00A34CA5"/>
    <w:rsid w:val="00A34D5D"/>
    <w:rsid w:val="00A35771"/>
    <w:rsid w:val="00A35995"/>
    <w:rsid w:val="00A36FA3"/>
    <w:rsid w:val="00A40CEC"/>
    <w:rsid w:val="00A43CE9"/>
    <w:rsid w:val="00A43F9C"/>
    <w:rsid w:val="00A506BB"/>
    <w:rsid w:val="00A513BA"/>
    <w:rsid w:val="00A51CE8"/>
    <w:rsid w:val="00A52384"/>
    <w:rsid w:val="00A5290B"/>
    <w:rsid w:val="00A53281"/>
    <w:rsid w:val="00A532EA"/>
    <w:rsid w:val="00A56493"/>
    <w:rsid w:val="00A60B1F"/>
    <w:rsid w:val="00A613F7"/>
    <w:rsid w:val="00A61AA3"/>
    <w:rsid w:val="00A6271E"/>
    <w:rsid w:val="00A64148"/>
    <w:rsid w:val="00A6440B"/>
    <w:rsid w:val="00A65EC0"/>
    <w:rsid w:val="00A70038"/>
    <w:rsid w:val="00A702EA"/>
    <w:rsid w:val="00A70615"/>
    <w:rsid w:val="00A7083E"/>
    <w:rsid w:val="00A70B4B"/>
    <w:rsid w:val="00A7102F"/>
    <w:rsid w:val="00A71D2D"/>
    <w:rsid w:val="00A73B65"/>
    <w:rsid w:val="00A73FC5"/>
    <w:rsid w:val="00A750F7"/>
    <w:rsid w:val="00A761D6"/>
    <w:rsid w:val="00A77CF4"/>
    <w:rsid w:val="00A826A0"/>
    <w:rsid w:val="00A8389E"/>
    <w:rsid w:val="00A85E7B"/>
    <w:rsid w:val="00A85F8D"/>
    <w:rsid w:val="00A9094C"/>
    <w:rsid w:val="00A92215"/>
    <w:rsid w:val="00A93573"/>
    <w:rsid w:val="00A94A8D"/>
    <w:rsid w:val="00A96567"/>
    <w:rsid w:val="00A9775A"/>
    <w:rsid w:val="00A97CBD"/>
    <w:rsid w:val="00A97FF4"/>
    <w:rsid w:val="00AA0C1D"/>
    <w:rsid w:val="00AA1881"/>
    <w:rsid w:val="00AA391F"/>
    <w:rsid w:val="00AA5D06"/>
    <w:rsid w:val="00AA69D8"/>
    <w:rsid w:val="00AB18B2"/>
    <w:rsid w:val="00AB1C2F"/>
    <w:rsid w:val="00AB4649"/>
    <w:rsid w:val="00AB4968"/>
    <w:rsid w:val="00AB4DA6"/>
    <w:rsid w:val="00AB518D"/>
    <w:rsid w:val="00AB5915"/>
    <w:rsid w:val="00AB770E"/>
    <w:rsid w:val="00AC0190"/>
    <w:rsid w:val="00AC04C0"/>
    <w:rsid w:val="00AC33AC"/>
    <w:rsid w:val="00AC7F17"/>
    <w:rsid w:val="00AD04B3"/>
    <w:rsid w:val="00AD251B"/>
    <w:rsid w:val="00AD3568"/>
    <w:rsid w:val="00AD4E05"/>
    <w:rsid w:val="00AD4EBD"/>
    <w:rsid w:val="00AD4FD0"/>
    <w:rsid w:val="00AD5469"/>
    <w:rsid w:val="00AD6CE0"/>
    <w:rsid w:val="00AD74F5"/>
    <w:rsid w:val="00AD77E1"/>
    <w:rsid w:val="00AE09EE"/>
    <w:rsid w:val="00AE1029"/>
    <w:rsid w:val="00AE229E"/>
    <w:rsid w:val="00AE3E68"/>
    <w:rsid w:val="00AE4640"/>
    <w:rsid w:val="00AE485B"/>
    <w:rsid w:val="00AE57CA"/>
    <w:rsid w:val="00AE6BFA"/>
    <w:rsid w:val="00AE6C02"/>
    <w:rsid w:val="00AE767D"/>
    <w:rsid w:val="00AE7834"/>
    <w:rsid w:val="00AF0E47"/>
    <w:rsid w:val="00AF0EED"/>
    <w:rsid w:val="00AF1430"/>
    <w:rsid w:val="00AF157D"/>
    <w:rsid w:val="00AF2167"/>
    <w:rsid w:val="00AF343F"/>
    <w:rsid w:val="00AF4740"/>
    <w:rsid w:val="00AF4C29"/>
    <w:rsid w:val="00AF652C"/>
    <w:rsid w:val="00B01B8C"/>
    <w:rsid w:val="00B02251"/>
    <w:rsid w:val="00B03A3D"/>
    <w:rsid w:val="00B03B85"/>
    <w:rsid w:val="00B06138"/>
    <w:rsid w:val="00B06DA2"/>
    <w:rsid w:val="00B10C72"/>
    <w:rsid w:val="00B11A78"/>
    <w:rsid w:val="00B14ABF"/>
    <w:rsid w:val="00B14C0C"/>
    <w:rsid w:val="00B1749E"/>
    <w:rsid w:val="00B23DA3"/>
    <w:rsid w:val="00B24A5B"/>
    <w:rsid w:val="00B25664"/>
    <w:rsid w:val="00B27152"/>
    <w:rsid w:val="00B2773C"/>
    <w:rsid w:val="00B27CAF"/>
    <w:rsid w:val="00B31390"/>
    <w:rsid w:val="00B33052"/>
    <w:rsid w:val="00B3329F"/>
    <w:rsid w:val="00B338AC"/>
    <w:rsid w:val="00B34B3C"/>
    <w:rsid w:val="00B35289"/>
    <w:rsid w:val="00B410E3"/>
    <w:rsid w:val="00B436B4"/>
    <w:rsid w:val="00B46EE5"/>
    <w:rsid w:val="00B53B06"/>
    <w:rsid w:val="00B53F9E"/>
    <w:rsid w:val="00B577E8"/>
    <w:rsid w:val="00B600A2"/>
    <w:rsid w:val="00B60420"/>
    <w:rsid w:val="00B6060C"/>
    <w:rsid w:val="00B62761"/>
    <w:rsid w:val="00B62EC1"/>
    <w:rsid w:val="00B64D12"/>
    <w:rsid w:val="00B708CE"/>
    <w:rsid w:val="00B729EF"/>
    <w:rsid w:val="00B72D7A"/>
    <w:rsid w:val="00B745A7"/>
    <w:rsid w:val="00B752DA"/>
    <w:rsid w:val="00B76010"/>
    <w:rsid w:val="00B77D3C"/>
    <w:rsid w:val="00B77FD1"/>
    <w:rsid w:val="00B80CC8"/>
    <w:rsid w:val="00B85AAE"/>
    <w:rsid w:val="00B87A32"/>
    <w:rsid w:val="00B9082A"/>
    <w:rsid w:val="00B90DB3"/>
    <w:rsid w:val="00B90DE9"/>
    <w:rsid w:val="00B9217B"/>
    <w:rsid w:val="00B923E3"/>
    <w:rsid w:val="00B9573B"/>
    <w:rsid w:val="00B95D73"/>
    <w:rsid w:val="00B9651D"/>
    <w:rsid w:val="00BA01B9"/>
    <w:rsid w:val="00BA02D1"/>
    <w:rsid w:val="00BA2E26"/>
    <w:rsid w:val="00BA350E"/>
    <w:rsid w:val="00BA4BD4"/>
    <w:rsid w:val="00BA5E33"/>
    <w:rsid w:val="00BB1EC4"/>
    <w:rsid w:val="00BB38D3"/>
    <w:rsid w:val="00BB6A96"/>
    <w:rsid w:val="00BB6AD7"/>
    <w:rsid w:val="00BB70CC"/>
    <w:rsid w:val="00BB719D"/>
    <w:rsid w:val="00BB7591"/>
    <w:rsid w:val="00BC4BA9"/>
    <w:rsid w:val="00BC5AC8"/>
    <w:rsid w:val="00BC707F"/>
    <w:rsid w:val="00BD1160"/>
    <w:rsid w:val="00BD1F8F"/>
    <w:rsid w:val="00BD2677"/>
    <w:rsid w:val="00BD446F"/>
    <w:rsid w:val="00BD4C1B"/>
    <w:rsid w:val="00BD60A3"/>
    <w:rsid w:val="00BD73E9"/>
    <w:rsid w:val="00BE2CAA"/>
    <w:rsid w:val="00BE3611"/>
    <w:rsid w:val="00BE4B9E"/>
    <w:rsid w:val="00BE5E23"/>
    <w:rsid w:val="00BE60B2"/>
    <w:rsid w:val="00BE7C93"/>
    <w:rsid w:val="00BF0071"/>
    <w:rsid w:val="00BF0972"/>
    <w:rsid w:val="00BF27DE"/>
    <w:rsid w:val="00BF2BB1"/>
    <w:rsid w:val="00C00BFF"/>
    <w:rsid w:val="00C0217E"/>
    <w:rsid w:val="00C0414F"/>
    <w:rsid w:val="00C04B31"/>
    <w:rsid w:val="00C061D3"/>
    <w:rsid w:val="00C07286"/>
    <w:rsid w:val="00C11793"/>
    <w:rsid w:val="00C124F1"/>
    <w:rsid w:val="00C141A5"/>
    <w:rsid w:val="00C153BC"/>
    <w:rsid w:val="00C159B5"/>
    <w:rsid w:val="00C17438"/>
    <w:rsid w:val="00C17769"/>
    <w:rsid w:val="00C20063"/>
    <w:rsid w:val="00C2031D"/>
    <w:rsid w:val="00C2061B"/>
    <w:rsid w:val="00C2176D"/>
    <w:rsid w:val="00C229C4"/>
    <w:rsid w:val="00C22AB0"/>
    <w:rsid w:val="00C23265"/>
    <w:rsid w:val="00C242FC"/>
    <w:rsid w:val="00C32319"/>
    <w:rsid w:val="00C33599"/>
    <w:rsid w:val="00C3516B"/>
    <w:rsid w:val="00C41E37"/>
    <w:rsid w:val="00C41F74"/>
    <w:rsid w:val="00C42DB1"/>
    <w:rsid w:val="00C4406D"/>
    <w:rsid w:val="00C45E0E"/>
    <w:rsid w:val="00C46642"/>
    <w:rsid w:val="00C50165"/>
    <w:rsid w:val="00C50B9D"/>
    <w:rsid w:val="00C50FF7"/>
    <w:rsid w:val="00C5272D"/>
    <w:rsid w:val="00C531C2"/>
    <w:rsid w:val="00C53BA3"/>
    <w:rsid w:val="00C55105"/>
    <w:rsid w:val="00C56B27"/>
    <w:rsid w:val="00C57163"/>
    <w:rsid w:val="00C57E94"/>
    <w:rsid w:val="00C60780"/>
    <w:rsid w:val="00C60F02"/>
    <w:rsid w:val="00C60F7F"/>
    <w:rsid w:val="00C6100C"/>
    <w:rsid w:val="00C65DB5"/>
    <w:rsid w:val="00C66284"/>
    <w:rsid w:val="00C66690"/>
    <w:rsid w:val="00C66A7E"/>
    <w:rsid w:val="00C7107E"/>
    <w:rsid w:val="00C71C39"/>
    <w:rsid w:val="00C73390"/>
    <w:rsid w:val="00C74EA5"/>
    <w:rsid w:val="00C74ED0"/>
    <w:rsid w:val="00C76167"/>
    <w:rsid w:val="00C77E7C"/>
    <w:rsid w:val="00C80DE9"/>
    <w:rsid w:val="00C81769"/>
    <w:rsid w:val="00C8215C"/>
    <w:rsid w:val="00C83C44"/>
    <w:rsid w:val="00C865B4"/>
    <w:rsid w:val="00C8784A"/>
    <w:rsid w:val="00C904FC"/>
    <w:rsid w:val="00C90733"/>
    <w:rsid w:val="00C91B70"/>
    <w:rsid w:val="00CA25C1"/>
    <w:rsid w:val="00CA345A"/>
    <w:rsid w:val="00CA6CD9"/>
    <w:rsid w:val="00CA7574"/>
    <w:rsid w:val="00CB3831"/>
    <w:rsid w:val="00CB39A1"/>
    <w:rsid w:val="00CB633A"/>
    <w:rsid w:val="00CC0616"/>
    <w:rsid w:val="00CC08F6"/>
    <w:rsid w:val="00CC1560"/>
    <w:rsid w:val="00CC198B"/>
    <w:rsid w:val="00CC2265"/>
    <w:rsid w:val="00CC3458"/>
    <w:rsid w:val="00CC348C"/>
    <w:rsid w:val="00CC36C3"/>
    <w:rsid w:val="00CC46BA"/>
    <w:rsid w:val="00CC5E6F"/>
    <w:rsid w:val="00CC5F5B"/>
    <w:rsid w:val="00CC6F4C"/>
    <w:rsid w:val="00CD1C92"/>
    <w:rsid w:val="00CD37C7"/>
    <w:rsid w:val="00CD3C1D"/>
    <w:rsid w:val="00CD4E0C"/>
    <w:rsid w:val="00CE0CA7"/>
    <w:rsid w:val="00CE11BA"/>
    <w:rsid w:val="00CE27BE"/>
    <w:rsid w:val="00CE5D61"/>
    <w:rsid w:val="00CE5E77"/>
    <w:rsid w:val="00CE7642"/>
    <w:rsid w:val="00CE7B6D"/>
    <w:rsid w:val="00CF12B7"/>
    <w:rsid w:val="00CF2D48"/>
    <w:rsid w:val="00CF453E"/>
    <w:rsid w:val="00CF4745"/>
    <w:rsid w:val="00CF6BE1"/>
    <w:rsid w:val="00D00F6F"/>
    <w:rsid w:val="00D02312"/>
    <w:rsid w:val="00D0273D"/>
    <w:rsid w:val="00D0388A"/>
    <w:rsid w:val="00D05D12"/>
    <w:rsid w:val="00D07E8B"/>
    <w:rsid w:val="00D10004"/>
    <w:rsid w:val="00D105E3"/>
    <w:rsid w:val="00D12AF7"/>
    <w:rsid w:val="00D12B10"/>
    <w:rsid w:val="00D135D7"/>
    <w:rsid w:val="00D1558E"/>
    <w:rsid w:val="00D1631E"/>
    <w:rsid w:val="00D170C7"/>
    <w:rsid w:val="00D20293"/>
    <w:rsid w:val="00D216F1"/>
    <w:rsid w:val="00D24508"/>
    <w:rsid w:val="00D246BB"/>
    <w:rsid w:val="00D25CAB"/>
    <w:rsid w:val="00D268E9"/>
    <w:rsid w:val="00D27900"/>
    <w:rsid w:val="00D31753"/>
    <w:rsid w:val="00D32415"/>
    <w:rsid w:val="00D32D26"/>
    <w:rsid w:val="00D333EE"/>
    <w:rsid w:val="00D3436C"/>
    <w:rsid w:val="00D4089D"/>
    <w:rsid w:val="00D42917"/>
    <w:rsid w:val="00D43303"/>
    <w:rsid w:val="00D43B12"/>
    <w:rsid w:val="00D45418"/>
    <w:rsid w:val="00D457CF"/>
    <w:rsid w:val="00D45B8D"/>
    <w:rsid w:val="00D47A30"/>
    <w:rsid w:val="00D514C3"/>
    <w:rsid w:val="00D5262E"/>
    <w:rsid w:val="00D52C23"/>
    <w:rsid w:val="00D54788"/>
    <w:rsid w:val="00D556CE"/>
    <w:rsid w:val="00D572B9"/>
    <w:rsid w:val="00D60410"/>
    <w:rsid w:val="00D60917"/>
    <w:rsid w:val="00D623A6"/>
    <w:rsid w:val="00D63161"/>
    <w:rsid w:val="00D6350C"/>
    <w:rsid w:val="00D653A0"/>
    <w:rsid w:val="00D65FC3"/>
    <w:rsid w:val="00D668CF"/>
    <w:rsid w:val="00D67738"/>
    <w:rsid w:val="00D7194D"/>
    <w:rsid w:val="00D7329A"/>
    <w:rsid w:val="00D73668"/>
    <w:rsid w:val="00D74282"/>
    <w:rsid w:val="00D750CB"/>
    <w:rsid w:val="00D76518"/>
    <w:rsid w:val="00D766BC"/>
    <w:rsid w:val="00D8704F"/>
    <w:rsid w:val="00D8776C"/>
    <w:rsid w:val="00D925A6"/>
    <w:rsid w:val="00D93CAF"/>
    <w:rsid w:val="00D959F3"/>
    <w:rsid w:val="00DA408C"/>
    <w:rsid w:val="00DA4100"/>
    <w:rsid w:val="00DA6A6A"/>
    <w:rsid w:val="00DB0CCA"/>
    <w:rsid w:val="00DB129F"/>
    <w:rsid w:val="00DB365C"/>
    <w:rsid w:val="00DB39CB"/>
    <w:rsid w:val="00DB3B83"/>
    <w:rsid w:val="00DB4BAD"/>
    <w:rsid w:val="00DC0F7F"/>
    <w:rsid w:val="00DC2A43"/>
    <w:rsid w:val="00DC3F5D"/>
    <w:rsid w:val="00DC48BA"/>
    <w:rsid w:val="00DC493F"/>
    <w:rsid w:val="00DC4992"/>
    <w:rsid w:val="00DC6DCF"/>
    <w:rsid w:val="00DC727E"/>
    <w:rsid w:val="00DD21F2"/>
    <w:rsid w:val="00DD5001"/>
    <w:rsid w:val="00DD50BC"/>
    <w:rsid w:val="00DD5A0D"/>
    <w:rsid w:val="00DD612D"/>
    <w:rsid w:val="00DE0435"/>
    <w:rsid w:val="00DE06DE"/>
    <w:rsid w:val="00DE2B76"/>
    <w:rsid w:val="00DE4D03"/>
    <w:rsid w:val="00DE50EE"/>
    <w:rsid w:val="00DE57A4"/>
    <w:rsid w:val="00DF1C3B"/>
    <w:rsid w:val="00DF6322"/>
    <w:rsid w:val="00E003CD"/>
    <w:rsid w:val="00E00C7C"/>
    <w:rsid w:val="00E01409"/>
    <w:rsid w:val="00E0437B"/>
    <w:rsid w:val="00E11587"/>
    <w:rsid w:val="00E14A29"/>
    <w:rsid w:val="00E24364"/>
    <w:rsid w:val="00E2444E"/>
    <w:rsid w:val="00E2480B"/>
    <w:rsid w:val="00E26196"/>
    <w:rsid w:val="00E2622E"/>
    <w:rsid w:val="00E262C6"/>
    <w:rsid w:val="00E26564"/>
    <w:rsid w:val="00E27B01"/>
    <w:rsid w:val="00E27C0F"/>
    <w:rsid w:val="00E3073B"/>
    <w:rsid w:val="00E30867"/>
    <w:rsid w:val="00E3114E"/>
    <w:rsid w:val="00E326A4"/>
    <w:rsid w:val="00E32D31"/>
    <w:rsid w:val="00E32E02"/>
    <w:rsid w:val="00E33A3E"/>
    <w:rsid w:val="00E34652"/>
    <w:rsid w:val="00E367DB"/>
    <w:rsid w:val="00E367F8"/>
    <w:rsid w:val="00E37B9C"/>
    <w:rsid w:val="00E400A9"/>
    <w:rsid w:val="00E42610"/>
    <w:rsid w:val="00E43739"/>
    <w:rsid w:val="00E43A02"/>
    <w:rsid w:val="00E46713"/>
    <w:rsid w:val="00E46F17"/>
    <w:rsid w:val="00E47EDA"/>
    <w:rsid w:val="00E569D0"/>
    <w:rsid w:val="00E57567"/>
    <w:rsid w:val="00E600F8"/>
    <w:rsid w:val="00E60705"/>
    <w:rsid w:val="00E64887"/>
    <w:rsid w:val="00E65376"/>
    <w:rsid w:val="00E65718"/>
    <w:rsid w:val="00E72F78"/>
    <w:rsid w:val="00E72FD1"/>
    <w:rsid w:val="00E7388F"/>
    <w:rsid w:val="00E74466"/>
    <w:rsid w:val="00E7460C"/>
    <w:rsid w:val="00E74A8B"/>
    <w:rsid w:val="00E76C28"/>
    <w:rsid w:val="00E77333"/>
    <w:rsid w:val="00E7798E"/>
    <w:rsid w:val="00E80352"/>
    <w:rsid w:val="00E80FD4"/>
    <w:rsid w:val="00E81EFD"/>
    <w:rsid w:val="00E81FAC"/>
    <w:rsid w:val="00E83504"/>
    <w:rsid w:val="00E84299"/>
    <w:rsid w:val="00E86E05"/>
    <w:rsid w:val="00E91CAC"/>
    <w:rsid w:val="00E952CC"/>
    <w:rsid w:val="00EA1339"/>
    <w:rsid w:val="00EA3DA0"/>
    <w:rsid w:val="00EA466B"/>
    <w:rsid w:val="00EA4ABF"/>
    <w:rsid w:val="00EA5C14"/>
    <w:rsid w:val="00EB062A"/>
    <w:rsid w:val="00EB117A"/>
    <w:rsid w:val="00EB21BE"/>
    <w:rsid w:val="00EB3507"/>
    <w:rsid w:val="00EB4EAC"/>
    <w:rsid w:val="00EB64F7"/>
    <w:rsid w:val="00EB6BCA"/>
    <w:rsid w:val="00EC0528"/>
    <w:rsid w:val="00EC163A"/>
    <w:rsid w:val="00EC35A2"/>
    <w:rsid w:val="00EC38F1"/>
    <w:rsid w:val="00EC567A"/>
    <w:rsid w:val="00ED015F"/>
    <w:rsid w:val="00ED0E6D"/>
    <w:rsid w:val="00ED2FDA"/>
    <w:rsid w:val="00ED31F6"/>
    <w:rsid w:val="00ED56F0"/>
    <w:rsid w:val="00ED59F8"/>
    <w:rsid w:val="00ED613B"/>
    <w:rsid w:val="00ED6835"/>
    <w:rsid w:val="00EE399B"/>
    <w:rsid w:val="00EE416D"/>
    <w:rsid w:val="00EE65C9"/>
    <w:rsid w:val="00EF03B2"/>
    <w:rsid w:val="00EF1133"/>
    <w:rsid w:val="00EF2049"/>
    <w:rsid w:val="00EF37A2"/>
    <w:rsid w:val="00F02A43"/>
    <w:rsid w:val="00F02FEC"/>
    <w:rsid w:val="00F03947"/>
    <w:rsid w:val="00F03D03"/>
    <w:rsid w:val="00F03E64"/>
    <w:rsid w:val="00F046E4"/>
    <w:rsid w:val="00F05D1C"/>
    <w:rsid w:val="00F066E9"/>
    <w:rsid w:val="00F0694E"/>
    <w:rsid w:val="00F1156F"/>
    <w:rsid w:val="00F11FC2"/>
    <w:rsid w:val="00F1249A"/>
    <w:rsid w:val="00F129C9"/>
    <w:rsid w:val="00F14938"/>
    <w:rsid w:val="00F15C63"/>
    <w:rsid w:val="00F17BEE"/>
    <w:rsid w:val="00F17D91"/>
    <w:rsid w:val="00F20936"/>
    <w:rsid w:val="00F23975"/>
    <w:rsid w:val="00F24631"/>
    <w:rsid w:val="00F25538"/>
    <w:rsid w:val="00F255EB"/>
    <w:rsid w:val="00F304B1"/>
    <w:rsid w:val="00F33EAF"/>
    <w:rsid w:val="00F3560C"/>
    <w:rsid w:val="00F36855"/>
    <w:rsid w:val="00F37858"/>
    <w:rsid w:val="00F4008B"/>
    <w:rsid w:val="00F404A2"/>
    <w:rsid w:val="00F43FEE"/>
    <w:rsid w:val="00F45313"/>
    <w:rsid w:val="00F46830"/>
    <w:rsid w:val="00F47E2C"/>
    <w:rsid w:val="00F50599"/>
    <w:rsid w:val="00F51781"/>
    <w:rsid w:val="00F5182A"/>
    <w:rsid w:val="00F51D7F"/>
    <w:rsid w:val="00F52B22"/>
    <w:rsid w:val="00F533A4"/>
    <w:rsid w:val="00F53AAB"/>
    <w:rsid w:val="00F55236"/>
    <w:rsid w:val="00F65250"/>
    <w:rsid w:val="00F65B10"/>
    <w:rsid w:val="00F66C8E"/>
    <w:rsid w:val="00F7198D"/>
    <w:rsid w:val="00F7237C"/>
    <w:rsid w:val="00F72453"/>
    <w:rsid w:val="00F7410C"/>
    <w:rsid w:val="00F74D33"/>
    <w:rsid w:val="00F752C1"/>
    <w:rsid w:val="00F754B3"/>
    <w:rsid w:val="00F802A5"/>
    <w:rsid w:val="00F80E0B"/>
    <w:rsid w:val="00F835F5"/>
    <w:rsid w:val="00F83F58"/>
    <w:rsid w:val="00F84A77"/>
    <w:rsid w:val="00F91C5E"/>
    <w:rsid w:val="00F9495D"/>
    <w:rsid w:val="00F95254"/>
    <w:rsid w:val="00F974A9"/>
    <w:rsid w:val="00F97865"/>
    <w:rsid w:val="00FA014B"/>
    <w:rsid w:val="00FA33DB"/>
    <w:rsid w:val="00FA3B5D"/>
    <w:rsid w:val="00FA443D"/>
    <w:rsid w:val="00FA4E17"/>
    <w:rsid w:val="00FA5049"/>
    <w:rsid w:val="00FB1176"/>
    <w:rsid w:val="00FB1CEF"/>
    <w:rsid w:val="00FB2328"/>
    <w:rsid w:val="00FB37E2"/>
    <w:rsid w:val="00FB3E9F"/>
    <w:rsid w:val="00FB3FA6"/>
    <w:rsid w:val="00FB4B5B"/>
    <w:rsid w:val="00FB5776"/>
    <w:rsid w:val="00FB6092"/>
    <w:rsid w:val="00FB63B0"/>
    <w:rsid w:val="00FB7585"/>
    <w:rsid w:val="00FB7DBF"/>
    <w:rsid w:val="00FC407C"/>
    <w:rsid w:val="00FC4DB9"/>
    <w:rsid w:val="00FC4F2C"/>
    <w:rsid w:val="00FC53B2"/>
    <w:rsid w:val="00FC55E8"/>
    <w:rsid w:val="00FD02F9"/>
    <w:rsid w:val="00FD269A"/>
    <w:rsid w:val="00FD53B7"/>
    <w:rsid w:val="00FD63F8"/>
    <w:rsid w:val="00FD68CD"/>
    <w:rsid w:val="00FD6FA4"/>
    <w:rsid w:val="00FE2B0B"/>
    <w:rsid w:val="00FE33A8"/>
    <w:rsid w:val="00FE471E"/>
    <w:rsid w:val="00FE49AC"/>
    <w:rsid w:val="00FE50FB"/>
    <w:rsid w:val="00FE5319"/>
    <w:rsid w:val="00FE5754"/>
    <w:rsid w:val="00FE581C"/>
    <w:rsid w:val="00FE58C9"/>
    <w:rsid w:val="00FE593C"/>
    <w:rsid w:val="00FE596C"/>
    <w:rsid w:val="00FE715E"/>
    <w:rsid w:val="00FE75A1"/>
    <w:rsid w:val="00FE7CD2"/>
    <w:rsid w:val="00FF02DB"/>
    <w:rsid w:val="00FF1234"/>
    <w:rsid w:val="00FF1626"/>
    <w:rsid w:val="00FF17A3"/>
    <w:rsid w:val="00FF2967"/>
    <w:rsid w:val="00FF346C"/>
    <w:rsid w:val="00FF394E"/>
    <w:rsid w:val="00FF48B6"/>
    <w:rsid w:val="00FF5612"/>
    <w:rsid w:val="00FF5F33"/>
    <w:rsid w:val="00FF6143"/>
    <w:rsid w:val="00FF66FC"/>
    <w:rsid w:val="00FF7AA2"/>
    <w:rsid w:val="25FF7D29"/>
    <w:rsid w:val="63794EB6"/>
    <w:rsid w:val="69BAC569"/>
    <w:rsid w:val="6F736CB7"/>
    <w:rsid w:val="6FEE98A3"/>
    <w:rsid w:val="7DDF0BA3"/>
    <w:rsid w:val="7EF76439"/>
    <w:rsid w:val="7FFB1B8E"/>
    <w:rsid w:val="B3F6DA5D"/>
    <w:rsid w:val="B6CFA716"/>
    <w:rsid w:val="FB6EE0DE"/>
    <w:rsid w:val="FCF7363D"/>
    <w:rsid w:val="FD379644"/>
    <w:rsid w:val="FDEF11CF"/>
    <w:rsid w:val="FFE78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80" w:lineRule="exact"/>
      <w:ind w:firstLine="560" w:firstLineChars="200"/>
    </w:pPr>
    <w:rPr>
      <w:rFonts w:ascii="宋体" w:hAnsi="宋体" w:eastAsia="宋体" w:cs="微软雅黑"/>
      <w:kern w:val="2"/>
      <w:sz w:val="28"/>
      <w:szCs w:val="22"/>
      <w:lang w:val="en-US" w:eastAsia="zh-CN" w:bidi="ar-SA"/>
      <w14:ligatures w14:val="standardContextual"/>
    </w:rPr>
  </w:style>
  <w:style w:type="paragraph" w:styleId="2">
    <w:name w:val="heading 1"/>
    <w:next w:val="1"/>
    <w:link w:val="14"/>
    <w:qFormat/>
    <w:uiPriority w:val="9"/>
    <w:pPr>
      <w:keepNext/>
      <w:keepLines/>
      <w:spacing w:before="50" w:beforeLines="50" w:after="50" w:afterLines="50" w:line="580" w:lineRule="exact"/>
      <w:jc w:val="center"/>
      <w:outlineLvl w:val="0"/>
    </w:pPr>
    <w:rPr>
      <w:rFonts w:ascii="微软雅黑" w:hAnsi="微软雅黑" w:eastAsia="黑体" w:cs="微软雅黑"/>
      <w:kern w:val="2"/>
      <w:sz w:val="30"/>
      <w:szCs w:val="22"/>
      <w:lang w:val="en-US" w:eastAsia="zh-CN" w:bidi="ar-SA"/>
      <w14:ligatures w14:val="standardContextual"/>
    </w:rPr>
  </w:style>
  <w:style w:type="paragraph" w:styleId="3">
    <w:name w:val="heading 2"/>
    <w:next w:val="1"/>
    <w:link w:val="15"/>
    <w:unhideWhenUsed/>
    <w:qFormat/>
    <w:uiPriority w:val="9"/>
    <w:pPr>
      <w:keepNext/>
      <w:keepLines/>
      <w:spacing w:after="144" w:line="259" w:lineRule="auto"/>
      <w:ind w:left="209" w:hanging="10"/>
      <w:outlineLvl w:val="1"/>
    </w:pPr>
    <w:rPr>
      <w:rFonts w:ascii="楷体" w:hAnsi="楷体" w:eastAsia="楷体" w:cs="微软雅黑"/>
      <w:kern w:val="2"/>
      <w:sz w:val="32"/>
      <w:szCs w:val="22"/>
      <w:lang w:val="en-US" w:eastAsia="zh-CN" w:bidi="ar-SA"/>
      <w14:ligatures w14:val="standardContextual"/>
    </w:rPr>
  </w:style>
  <w:style w:type="paragraph" w:styleId="4">
    <w:name w:val="heading 3"/>
    <w:next w:val="1"/>
    <w:link w:val="13"/>
    <w:unhideWhenUsed/>
    <w:qFormat/>
    <w:uiPriority w:val="9"/>
    <w:pPr>
      <w:keepNext/>
      <w:keepLines/>
      <w:spacing w:after="171" w:line="259" w:lineRule="auto"/>
      <w:ind w:right="322"/>
      <w:outlineLvl w:val="2"/>
    </w:pPr>
    <w:rPr>
      <w:rFonts w:ascii="微软雅黑" w:hAnsi="微软雅黑" w:eastAsia="微软雅黑" w:cs="微软雅黑"/>
      <w:color w:val="000000"/>
      <w:kern w:val="2"/>
      <w:sz w:val="32"/>
      <w:szCs w:val="22"/>
      <w:lang w:val="en-US" w:eastAsia="zh-CN" w:bidi="ar-SA"/>
      <w14:ligatures w14:val="standardContextual"/>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9"/>
    <w:semiHidden/>
    <w:unhideWhenUsed/>
    <w:qFormat/>
    <w:uiPriority w:val="99"/>
    <w:pPr>
      <w:spacing w:line="240" w:lineRule="auto"/>
    </w:pPr>
    <w:rPr>
      <w:sz w:val="18"/>
      <w:szCs w:val="18"/>
    </w:rPr>
  </w:style>
  <w:style w:type="paragraph" w:styleId="6">
    <w:name w:val="footer"/>
    <w:basedOn w:val="1"/>
    <w:link w:val="20"/>
    <w:unhideWhenUsed/>
    <w:qFormat/>
    <w:uiPriority w:val="99"/>
    <w:pPr>
      <w:tabs>
        <w:tab w:val="center" w:pos="4153"/>
        <w:tab w:val="right" w:pos="8306"/>
      </w:tabs>
      <w:snapToGrid w:val="0"/>
      <w:spacing w:line="240" w:lineRule="auto"/>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8">
    <w:name w:val="toc 1"/>
    <w:basedOn w:val="1"/>
    <w:next w:val="1"/>
    <w:unhideWhenUsed/>
    <w:qFormat/>
    <w:uiPriority w:val="39"/>
  </w:style>
  <w:style w:type="paragraph" w:styleId="9">
    <w:name w:val="toc 2"/>
    <w:basedOn w:val="1"/>
    <w:next w:val="1"/>
    <w:unhideWhenUsed/>
    <w:qFormat/>
    <w:uiPriority w:val="39"/>
    <w:pPr>
      <w:ind w:left="420" w:leftChars="200"/>
    </w:p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customStyle="1" w:styleId="13">
    <w:name w:val="标题 3 字符"/>
    <w:link w:val="4"/>
    <w:qFormat/>
    <w:uiPriority w:val="0"/>
    <w:rPr>
      <w:rFonts w:ascii="微软雅黑" w:hAnsi="微软雅黑" w:eastAsia="微软雅黑" w:cs="微软雅黑"/>
      <w:color w:val="000000"/>
      <w:sz w:val="32"/>
    </w:rPr>
  </w:style>
  <w:style w:type="character" w:customStyle="1" w:styleId="14">
    <w:name w:val="标题 1 字符"/>
    <w:link w:val="2"/>
    <w:qFormat/>
    <w:uiPriority w:val="9"/>
    <w:rPr>
      <w:rFonts w:ascii="微软雅黑" w:hAnsi="微软雅黑" w:eastAsia="黑体" w:cs="微软雅黑"/>
      <w:sz w:val="30"/>
    </w:rPr>
  </w:style>
  <w:style w:type="character" w:customStyle="1" w:styleId="15">
    <w:name w:val="标题 2 字符"/>
    <w:link w:val="3"/>
    <w:qFormat/>
    <w:uiPriority w:val="9"/>
    <w:rPr>
      <w:rFonts w:ascii="楷体" w:hAnsi="楷体" w:eastAsia="楷体" w:cs="微软雅黑"/>
      <w:sz w:val="32"/>
    </w:rPr>
  </w:style>
  <w:style w:type="paragraph" w:customStyle="1" w:styleId="16">
    <w:name w:val="TOC 标题1"/>
    <w:basedOn w:val="2"/>
    <w:next w:val="1"/>
    <w:unhideWhenUsed/>
    <w:qFormat/>
    <w:uiPriority w:val="39"/>
    <w:pPr>
      <w:spacing w:before="240"/>
      <w:jc w:val="left"/>
      <w:outlineLvl w:val="9"/>
    </w:pPr>
    <w:rPr>
      <w:rFonts w:asciiTheme="majorHAnsi" w:hAnsiTheme="majorHAnsi" w:eastAsiaTheme="majorEastAsia" w:cstheme="majorBidi"/>
      <w:color w:val="2F5597" w:themeColor="accent1" w:themeShade="BF"/>
      <w:kern w:val="0"/>
      <w:szCs w:val="32"/>
      <w14:ligatures w14:val="none"/>
    </w:rPr>
  </w:style>
  <w:style w:type="character" w:customStyle="1" w:styleId="17">
    <w:name w:val="页眉 字符"/>
    <w:basedOn w:val="11"/>
    <w:link w:val="7"/>
    <w:qFormat/>
    <w:uiPriority w:val="99"/>
    <w:rPr>
      <w:rFonts w:ascii="微软雅黑" w:hAnsi="微软雅黑" w:eastAsia="微软雅黑" w:cs="微软雅黑"/>
      <w:color w:val="000000"/>
      <w:sz w:val="18"/>
      <w:szCs w:val="18"/>
    </w:rPr>
  </w:style>
  <w:style w:type="paragraph" w:styleId="18">
    <w:name w:val="List Paragraph"/>
    <w:basedOn w:val="1"/>
    <w:qFormat/>
    <w:uiPriority w:val="34"/>
    <w:pPr>
      <w:ind w:firstLine="420"/>
    </w:pPr>
  </w:style>
  <w:style w:type="character" w:customStyle="1" w:styleId="19">
    <w:name w:val="批注框文本 字符"/>
    <w:basedOn w:val="11"/>
    <w:link w:val="5"/>
    <w:semiHidden/>
    <w:qFormat/>
    <w:uiPriority w:val="99"/>
    <w:rPr>
      <w:rFonts w:ascii="微软雅黑" w:hAnsi="微软雅黑" w:eastAsia="微软雅黑" w:cs="微软雅黑"/>
      <w:color w:val="000000"/>
      <w:sz w:val="18"/>
      <w:szCs w:val="18"/>
    </w:rPr>
  </w:style>
  <w:style w:type="character" w:customStyle="1" w:styleId="20">
    <w:name w:val="页脚 字符"/>
    <w:basedOn w:val="11"/>
    <w:link w:val="6"/>
    <w:qFormat/>
    <w:uiPriority w:val="99"/>
    <w:rPr>
      <w:rFonts w:ascii="仿宋" w:hAnsi="仿宋" w:eastAsia="仿宋" w:cs="微软雅黑"/>
      <w:sz w:val="18"/>
      <w:szCs w:val="18"/>
    </w:rPr>
  </w:style>
  <w:style w:type="paragraph" w:customStyle="1" w:styleId="21">
    <w:name w:val="第一条"/>
    <w:basedOn w:val="3"/>
    <w:next w:val="1"/>
    <w:link w:val="22"/>
    <w:qFormat/>
    <w:uiPriority w:val="0"/>
    <w:pPr>
      <w:keepNext w:val="0"/>
      <w:keepLines w:val="0"/>
      <w:widowControl w:val="0"/>
      <w:numPr>
        <w:ilvl w:val="0"/>
        <w:numId w:val="1"/>
      </w:numPr>
      <w:spacing w:after="0" w:line="580" w:lineRule="exact"/>
    </w:pPr>
    <w:rPr>
      <w:rFonts w:eastAsia="方正小标宋简体" w:asciiTheme="minorHAnsi" w:hAnsiTheme="minorHAnsi" w:cstheme="minorBidi"/>
      <w:bCs/>
      <w:sz w:val="28"/>
      <w:szCs w:val="32"/>
      <w14:ligatures w14:val="none"/>
    </w:rPr>
  </w:style>
  <w:style w:type="character" w:customStyle="1" w:styleId="22">
    <w:name w:val="第一条 Char"/>
    <w:basedOn w:val="11"/>
    <w:link w:val="21"/>
    <w:qFormat/>
    <w:uiPriority w:val="0"/>
    <w:rPr>
      <w:rFonts w:eastAsia="方正小标宋简体"/>
      <w:bCs/>
      <w:sz w:val="28"/>
      <w:szCs w:val="32"/>
      <w14:ligatures w14:val="none"/>
    </w:rPr>
  </w:style>
  <w:style w:type="paragraph" w:styleId="23">
    <w:name w:val="No Spacing"/>
    <w:qFormat/>
    <w:uiPriority w:val="1"/>
    <w:pPr>
      <w:ind w:firstLine="200" w:firstLineChars="200"/>
    </w:pPr>
    <w:rPr>
      <w:rFonts w:ascii="仿宋" w:hAnsi="仿宋" w:eastAsia="仿宋" w:cs="微软雅黑"/>
      <w:kern w:val="2"/>
      <w:sz w:val="28"/>
      <w:szCs w:val="22"/>
      <w:lang w:val="en-US" w:eastAsia="zh-CN" w:bidi="ar-SA"/>
      <w14:ligatures w14:val="standardContextual"/>
    </w:rPr>
  </w:style>
  <w:style w:type="paragraph" w:customStyle="1" w:styleId="24">
    <w:name w:val="修订1"/>
    <w:hidden/>
    <w:semiHidden/>
    <w:qFormat/>
    <w:uiPriority w:val="99"/>
    <w:rPr>
      <w:rFonts w:ascii="仿宋" w:hAnsi="仿宋" w:eastAsia="仿宋" w:cs="微软雅黑"/>
      <w:kern w:val="2"/>
      <w:sz w:val="28"/>
      <w:szCs w:val="22"/>
      <w:lang w:val="en-US" w:eastAsia="zh-CN" w:bidi="ar-SA"/>
      <w14:ligatures w14:val="standardContextual"/>
    </w:rPr>
  </w:style>
  <w:style w:type="paragraph" w:customStyle="1" w:styleId="25">
    <w:name w:val="正文-常务会议"/>
    <w:basedOn w:val="1"/>
    <w:link w:val="26"/>
    <w:qFormat/>
    <w:uiPriority w:val="0"/>
    <w:pPr>
      <w:spacing w:line="560" w:lineRule="exact"/>
      <w:jc w:val="both"/>
    </w:pPr>
    <w:rPr>
      <w:rFonts w:ascii="Times New Roman" w:hAnsi="Times New Roman" w:eastAsia="仿宋_GB2312" w:cs="仿宋_GB2312"/>
      <w:sz w:val="30"/>
      <w:szCs w:val="32"/>
      <w14:ligatures w14:val="none"/>
    </w:rPr>
  </w:style>
  <w:style w:type="character" w:customStyle="1" w:styleId="26">
    <w:name w:val="正文-常务会议 Char"/>
    <w:link w:val="25"/>
    <w:qFormat/>
    <w:uiPriority w:val="0"/>
    <w:rPr>
      <w:rFonts w:ascii="Times New Roman" w:hAnsi="Times New Roman" w:eastAsia="仿宋_GB2312" w:cs="仿宋_GB2312"/>
      <w:sz w:val="30"/>
      <w:szCs w:val="32"/>
      <w14:ligatures w14:val="none"/>
    </w:rPr>
  </w:style>
  <w:style w:type="paragraph" w:customStyle="1" w:styleId="27">
    <w:name w:val="来源"/>
    <w:basedOn w:val="1"/>
    <w:link w:val="28"/>
    <w:qFormat/>
    <w:uiPriority w:val="0"/>
    <w:rPr>
      <w:rFonts w:eastAsia="楷体"/>
      <w:color w:val="2F5597" w:themeColor="accent1" w:themeShade="BF"/>
      <w:sz w:val="24"/>
      <w:shd w:val="clear" w:color="auto" w:fill="E7E6E6" w:themeFill="background2"/>
    </w:rPr>
  </w:style>
  <w:style w:type="character" w:customStyle="1" w:styleId="28">
    <w:name w:val="来源 Char"/>
    <w:basedOn w:val="11"/>
    <w:link w:val="27"/>
    <w:qFormat/>
    <w:uiPriority w:val="0"/>
    <w:rPr>
      <w:rFonts w:ascii="仿宋" w:hAnsi="仿宋" w:eastAsia="楷体" w:cs="微软雅黑"/>
      <w:color w:val="2F5597" w:themeColor="accent1" w:themeShade="BF"/>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Pages>
  <Words>1534</Words>
  <Characters>8744</Characters>
  <Lines>72</Lines>
  <Paragraphs>20</Paragraphs>
  <TotalTime>2</TotalTime>
  <ScaleCrop>false</ScaleCrop>
  <LinksUpToDate>false</LinksUpToDate>
  <CharactersWithSpaces>10258</CharactersWithSpaces>
  <Application>WPS Office_11.1.0.11719_F1E327BC-269C-435d-A152-05C5408002CA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2024-06-23T13:07:00Z</dcterms:created>
  <dc:creator>vjkhdzxshv</dc:creator>
  <cp:lastModifiedBy>小丸子</cp:lastModifiedBy>
  <cp:lastPrinted>2024-07-18T07:43:00Z</cp:lastPrinted>
  <dcterms:modified xsi:type="dcterms:W3CDTF">2024-07-18T18:26:01Z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2052-11.1.0.11719</vt:lpwstr>
  </property>
</Properties>
</file>