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59306E9C">
      <w:pPr>
        <w:keepNext w:val="0"/>
        <w:keepLines w:val="0"/>
        <w:pageBreakBefore w:val="0"/>
        <w:widowControl w:val="0"/>
        <w:kinsoku/>
        <w:wordWrap/>
        <w:overflowPunct/>
        <w:topLinePunct w:val="0"/>
        <w:autoSpaceDE/>
        <w:autoSpaceDN/>
        <w:bidi w:val="0"/>
        <w:adjustRightInd/>
        <w:snapToGrid/>
        <w:spacing w:line="660" w:lineRule="exact"/>
        <w:jc w:val="center"/>
        <w:textAlignment w:val="baseline"/>
        <w:rPr>
          <w:rFonts w:hint="eastAsia" w:ascii="方正小标宋简体" w:hAnsi="方正小标宋简体" w:eastAsia="方正小标宋简体" w:cs="方正小标宋简体"/>
          <w:sz w:val="44"/>
          <w:szCs w:val="44"/>
          <w:highlight w:val="none"/>
          <w:lang w:eastAsia="zh-CN"/>
        </w:rPr>
      </w:pPr>
      <w:r>
        <w:rPr>
          <w:rFonts w:hint="eastAsia" w:ascii="方正小标宋简体" w:hAnsi="方正小标宋简体" w:eastAsia="方正小标宋简体" w:cs="方正小标宋简体"/>
          <w:sz w:val="44"/>
          <w:szCs w:val="44"/>
          <w:highlight w:val="none"/>
          <w:lang w:eastAsia="zh-CN"/>
        </w:rPr>
        <w:t>关于进一步做好我市城镇住宅用地地下空间开发利用有关事项管理的通知（试行）</w:t>
      </w:r>
    </w:p>
    <w:p w14:paraId="4CBD4034">
      <w:pPr>
        <w:spacing w:line="0" w:lineRule="atLeast"/>
        <w:jc w:val="center"/>
        <w:textAlignment w:val="baseline"/>
        <w:rPr>
          <w:rFonts w:hint="eastAsia" w:ascii="楷体_GB2312" w:hAnsi="方正小标宋简体" w:eastAsia="楷体_GB2312" w:cs="方正小标宋简体"/>
          <w:sz w:val="32"/>
          <w:szCs w:val="32"/>
        </w:rPr>
      </w:pPr>
      <w:r>
        <w:rPr>
          <w:rFonts w:hint="eastAsia" w:ascii="楷体_GB2312" w:hAnsi="方正小标宋简体" w:eastAsia="楷体_GB2312" w:cs="方正小标宋简体"/>
          <w:sz w:val="32"/>
          <w:szCs w:val="32"/>
          <w:lang w:eastAsia="zh-CN"/>
        </w:rPr>
        <w:t>（征求意见稿）</w:t>
      </w:r>
    </w:p>
    <w:p w14:paraId="6A71E94B">
      <w:pPr>
        <w:keepNext w:val="0"/>
        <w:keepLines w:val="0"/>
        <w:pageBreakBefore w:val="0"/>
        <w:widowControl w:val="0"/>
        <w:kinsoku/>
        <w:wordWrap/>
        <w:overflowPunct/>
        <w:topLinePunct w:val="0"/>
        <w:autoSpaceDE/>
        <w:autoSpaceDN/>
        <w:bidi w:val="0"/>
        <w:adjustRightInd/>
        <w:snapToGrid/>
        <w:spacing w:line="660" w:lineRule="exact"/>
        <w:jc w:val="center"/>
        <w:textAlignment w:val="baseline"/>
        <w:rPr>
          <w:rFonts w:ascii="楷体_GB2312" w:hAnsi="方正小标宋简体" w:eastAsia="楷体_GB2312" w:cs="方正小标宋简体"/>
          <w:sz w:val="32"/>
          <w:szCs w:val="32"/>
          <w:highlight w:val="none"/>
        </w:rPr>
      </w:pPr>
    </w:p>
    <w:p w14:paraId="3E7277CB">
      <w:pPr>
        <w:keepNext w:val="0"/>
        <w:keepLines w:val="0"/>
        <w:pageBreakBefore w:val="0"/>
        <w:kinsoku/>
        <w:wordWrap/>
        <w:overflowPunct/>
        <w:topLinePunct w:val="0"/>
        <w:autoSpaceDE/>
        <w:autoSpaceDN/>
        <w:bidi w:val="0"/>
        <w:adjustRightInd/>
        <w:snapToGrid/>
        <w:spacing w:line="580" w:lineRule="exact"/>
        <w:rPr>
          <w:rFonts w:hint="eastAsia" w:ascii="仿宋_GB2312" w:hAnsi="仿宋_GB2312" w:eastAsia="仿宋_GB2312" w:cs="仿宋_GB2312"/>
          <w:color w:val="0000FF"/>
          <w:sz w:val="32"/>
          <w:szCs w:val="32"/>
          <w:highlight w:val="none"/>
          <w:lang w:eastAsia="zh-CN"/>
        </w:rPr>
      </w:pPr>
      <w:r>
        <w:rPr>
          <w:rFonts w:hint="default" w:eastAsia="仿宋_GB2312"/>
          <w:sz w:val="32"/>
          <w:szCs w:val="32"/>
          <w:highlight w:val="none"/>
          <w:shd w:val="clear" w:color="auto" w:fill="FFFFFF"/>
        </w:rPr>
        <w:t>各区（县、市）</w:t>
      </w:r>
      <w:r>
        <w:rPr>
          <w:rFonts w:hint="eastAsia" w:eastAsia="仿宋_GB2312"/>
          <w:sz w:val="32"/>
          <w:szCs w:val="32"/>
          <w:highlight w:val="none"/>
          <w:shd w:val="clear" w:color="auto" w:fill="FFFFFF"/>
          <w:lang w:eastAsia="zh-CN"/>
        </w:rPr>
        <w:t>资规局、</w:t>
      </w:r>
      <w:r>
        <w:rPr>
          <w:rFonts w:hint="default" w:eastAsia="仿宋_GB2312"/>
          <w:sz w:val="32"/>
          <w:szCs w:val="32"/>
          <w:highlight w:val="none"/>
          <w:shd w:val="clear" w:color="auto" w:fill="FFFFFF"/>
          <w:lang w:eastAsia="zh-CN"/>
        </w:rPr>
        <w:t>住房城乡建设</w:t>
      </w:r>
      <w:r>
        <w:rPr>
          <w:rFonts w:hint="eastAsia" w:eastAsia="仿宋_GB2312"/>
          <w:sz w:val="32"/>
          <w:szCs w:val="32"/>
          <w:highlight w:val="none"/>
          <w:shd w:val="clear" w:color="auto" w:fill="FFFFFF"/>
          <w:lang w:eastAsia="zh-CN"/>
        </w:rPr>
        <w:t>局：</w:t>
      </w:r>
    </w:p>
    <w:p w14:paraId="0B0FB526">
      <w:pPr>
        <w:keepNext w:val="0"/>
        <w:keepLines w:val="0"/>
        <w:pageBreakBefore w:val="0"/>
        <w:kinsoku/>
        <w:wordWrap/>
        <w:overflowPunct/>
        <w:topLinePunct w:val="0"/>
        <w:autoSpaceDE/>
        <w:autoSpaceDN/>
        <w:bidi w:val="0"/>
        <w:adjustRightInd/>
        <w:snapToGrid/>
        <w:spacing w:line="580" w:lineRule="exact"/>
        <w:ind w:firstLine="632" w:firstLineChars="200"/>
        <w:textAlignment w:val="baseline"/>
        <w:rPr>
          <w:rFonts w:hint="eastAsia" w:ascii="仿宋_GB2312" w:hAnsi="仿宋_GB2312" w:eastAsia="仿宋_GB2312" w:cs="仿宋_GB2312"/>
          <w:sz w:val="32"/>
          <w:szCs w:val="32"/>
          <w:highlight w:val="none"/>
        </w:rPr>
      </w:pPr>
      <w:r>
        <w:rPr>
          <w:rFonts w:hint="eastAsia" w:ascii="仿宋_GB2312" w:hAnsi="仿宋_GB2312" w:eastAsia="仿宋_GB2312" w:cs="仿宋_GB2312"/>
          <w:sz w:val="32"/>
          <w:szCs w:val="32"/>
          <w:highlight w:val="none"/>
        </w:rPr>
        <w:t>为</w:t>
      </w:r>
      <w:r>
        <w:rPr>
          <w:rFonts w:hint="eastAsia" w:ascii="仿宋_GB2312" w:hAnsi="仿宋_GB2312" w:eastAsia="仿宋_GB2312" w:cs="仿宋_GB2312"/>
          <w:sz w:val="32"/>
          <w:szCs w:val="32"/>
          <w:highlight w:val="none"/>
          <w:lang w:eastAsia="zh-CN"/>
        </w:rPr>
        <w:t>进一步</w:t>
      </w:r>
      <w:r>
        <w:rPr>
          <w:rFonts w:hint="eastAsia" w:ascii="仿宋_GB2312" w:hAnsi="仿宋_GB2312" w:eastAsia="仿宋_GB2312" w:cs="仿宋_GB2312"/>
          <w:sz w:val="32"/>
          <w:szCs w:val="32"/>
          <w:highlight w:val="none"/>
          <w:lang w:val="en-US" w:eastAsia="zh-CN"/>
        </w:rPr>
        <w:t>做好</w:t>
      </w:r>
      <w:r>
        <w:rPr>
          <w:rFonts w:hint="eastAsia" w:ascii="仿宋_GB2312" w:hAnsi="仿宋_GB2312" w:eastAsia="仿宋_GB2312" w:cs="仿宋_GB2312"/>
          <w:sz w:val="32"/>
          <w:szCs w:val="32"/>
          <w:highlight w:val="none"/>
          <w:lang w:eastAsia="zh-CN"/>
        </w:rPr>
        <w:t>我市城镇住宅用地地下空间</w:t>
      </w:r>
      <w:r>
        <w:rPr>
          <w:rFonts w:hint="eastAsia" w:ascii="仿宋_GB2312" w:hAnsi="仿宋_GB2312" w:eastAsia="仿宋_GB2312" w:cs="仿宋_GB2312"/>
          <w:sz w:val="32"/>
          <w:szCs w:val="32"/>
          <w:highlight w:val="none"/>
          <w:lang w:val="en-US" w:eastAsia="zh-CN"/>
        </w:rPr>
        <w:t>有序利用，推进“好房子”建设，以“公共优先、安全可控、权属明晰”为原则，</w:t>
      </w:r>
      <w:r>
        <w:rPr>
          <w:rFonts w:hint="eastAsia" w:ascii="仿宋_GB2312" w:hAnsi="仿宋_GB2312" w:eastAsia="仿宋_GB2312" w:cs="仿宋_GB2312"/>
          <w:sz w:val="32"/>
          <w:szCs w:val="32"/>
          <w:highlight w:val="none"/>
          <w:lang w:eastAsia="zh-CN"/>
        </w:rPr>
        <w:t>根据相关法律法规和行业技术标准，</w:t>
      </w:r>
      <w:r>
        <w:rPr>
          <w:rFonts w:hint="eastAsia" w:ascii="仿宋_GB2312" w:hAnsi="仿宋_GB2312" w:eastAsia="仿宋_GB2312" w:cs="仿宋_GB2312"/>
          <w:sz w:val="32"/>
          <w:szCs w:val="32"/>
          <w:highlight w:val="none"/>
          <w:lang w:val="en-US" w:eastAsia="zh-CN"/>
        </w:rPr>
        <w:t>加强</w:t>
      </w:r>
      <w:r>
        <w:rPr>
          <w:rFonts w:hint="eastAsia" w:ascii="仿宋_GB2312" w:hAnsi="仿宋_GB2312" w:eastAsia="仿宋_GB2312" w:cs="仿宋_GB2312"/>
          <w:sz w:val="32"/>
          <w:szCs w:val="32"/>
          <w:highlight w:val="none"/>
          <w:lang w:eastAsia="zh-CN"/>
        </w:rPr>
        <w:t>规划、土地、建设、销售、登记、使用等各环节工作衔接，结合我市实际，</w:t>
      </w:r>
      <w:r>
        <w:rPr>
          <w:rFonts w:hint="eastAsia" w:ascii="仿宋_GB2312" w:hAnsi="仿宋_GB2312" w:eastAsia="仿宋_GB2312" w:cs="仿宋_GB2312"/>
          <w:sz w:val="32"/>
          <w:szCs w:val="32"/>
          <w:highlight w:val="none"/>
        </w:rPr>
        <w:t>现就</w:t>
      </w:r>
      <w:r>
        <w:rPr>
          <w:rFonts w:hint="eastAsia" w:ascii="仿宋_GB2312" w:hAnsi="仿宋_GB2312" w:eastAsia="仿宋_GB2312" w:cs="仿宋_GB2312"/>
          <w:sz w:val="32"/>
          <w:szCs w:val="32"/>
          <w:highlight w:val="none"/>
          <w:lang w:eastAsia="zh-CN"/>
        </w:rPr>
        <w:t>进一步规范我市城镇住宅用地地下空间开发利用有关事项</w:t>
      </w:r>
      <w:r>
        <w:rPr>
          <w:rFonts w:hint="eastAsia" w:ascii="仿宋_GB2312" w:hAnsi="仿宋_GB2312" w:eastAsia="仿宋_GB2312" w:cs="仿宋_GB2312"/>
          <w:sz w:val="32"/>
          <w:szCs w:val="32"/>
          <w:highlight w:val="none"/>
        </w:rPr>
        <w:t>通知如下：</w:t>
      </w:r>
    </w:p>
    <w:p w14:paraId="0B76A551">
      <w:pPr>
        <w:keepNext w:val="0"/>
        <w:keepLines w:val="0"/>
        <w:pageBreakBefore w:val="0"/>
        <w:kinsoku/>
        <w:wordWrap/>
        <w:overflowPunct/>
        <w:topLinePunct w:val="0"/>
        <w:autoSpaceDE/>
        <w:autoSpaceDN/>
        <w:bidi w:val="0"/>
        <w:adjustRightInd/>
        <w:snapToGrid/>
        <w:spacing w:line="580" w:lineRule="exact"/>
        <w:ind w:firstLine="632" w:firstLineChars="200"/>
        <w:textAlignment w:val="baseline"/>
        <w:rPr>
          <w:rFonts w:hint="eastAsia" w:ascii="黑体" w:hAnsi="黑体" w:eastAsia="黑体" w:cs="黑体"/>
          <w:sz w:val="32"/>
          <w:szCs w:val="32"/>
          <w:highlight w:val="none"/>
        </w:rPr>
      </w:pPr>
      <w:r>
        <w:rPr>
          <w:rFonts w:hint="eastAsia" w:ascii="黑体" w:hAnsi="黑体" w:eastAsia="黑体" w:cs="黑体"/>
          <w:sz w:val="32"/>
          <w:szCs w:val="32"/>
          <w:highlight w:val="none"/>
        </w:rPr>
        <w:t>一、</w:t>
      </w:r>
      <w:r>
        <w:rPr>
          <w:rFonts w:hint="eastAsia" w:ascii="黑体" w:hAnsi="黑体" w:eastAsia="黑体" w:cs="黑体"/>
          <w:sz w:val="32"/>
          <w:szCs w:val="32"/>
          <w:highlight w:val="none"/>
          <w:lang w:val="en-US" w:eastAsia="zh-CN"/>
        </w:rPr>
        <w:t>强化规划统筹引领</w:t>
      </w:r>
    </w:p>
    <w:p w14:paraId="777E572D">
      <w:pPr>
        <w:keepNext w:val="0"/>
        <w:keepLines w:val="0"/>
        <w:pageBreakBefore w:val="0"/>
        <w:kinsoku/>
        <w:wordWrap/>
        <w:overflowPunct/>
        <w:topLinePunct w:val="0"/>
        <w:autoSpaceDE/>
        <w:autoSpaceDN/>
        <w:bidi w:val="0"/>
        <w:adjustRightInd/>
        <w:snapToGrid/>
        <w:spacing w:line="580" w:lineRule="exact"/>
        <w:ind w:firstLine="632" w:firstLineChars="200"/>
        <w:textAlignment w:val="baseline"/>
        <w:rPr>
          <w:rFonts w:hint="eastAsia" w:ascii="仿宋_GB2312" w:hAnsi="仿宋_GB2312" w:eastAsia="仿宋_GB2312" w:cs="仿宋_GB2312"/>
          <w:sz w:val="32"/>
          <w:szCs w:val="32"/>
          <w:highlight w:val="none"/>
        </w:rPr>
      </w:pPr>
      <w:r>
        <w:rPr>
          <w:rFonts w:hint="eastAsia" w:ascii="楷体_GB2312" w:hAnsi="楷体_GB2312" w:eastAsia="楷体_GB2312" w:cs="楷体_GB2312"/>
          <w:sz w:val="32"/>
          <w:szCs w:val="32"/>
          <w:highlight w:val="none"/>
          <w:lang w:val="en-US" w:eastAsia="zh-CN"/>
        </w:rPr>
        <w:t>（一）明确地下空间准入要求。</w:t>
      </w:r>
      <w:r>
        <w:rPr>
          <w:rFonts w:hint="default" w:ascii="仿宋_GB2312" w:hAnsi="仿宋_GB2312" w:eastAsia="仿宋_GB2312" w:cs="仿宋_GB2312"/>
          <w:sz w:val="32"/>
          <w:szCs w:val="32"/>
          <w:highlight w:val="none"/>
          <w:lang w:val="en-US" w:eastAsia="zh-CN"/>
        </w:rPr>
        <w:t>地下空间应当科学合理布局地下交通、应急防灾、</w:t>
      </w:r>
      <w:r>
        <w:rPr>
          <w:rFonts w:hint="eastAsia" w:ascii="仿宋_GB2312" w:hAnsi="仿宋_GB2312" w:eastAsia="仿宋_GB2312" w:cs="仿宋_GB2312"/>
          <w:sz w:val="32"/>
          <w:szCs w:val="32"/>
          <w:highlight w:val="none"/>
          <w:lang w:val="en-US" w:eastAsia="zh-CN"/>
        </w:rPr>
        <w:t>消防安全、</w:t>
      </w:r>
      <w:r>
        <w:rPr>
          <w:rFonts w:hint="default" w:ascii="仿宋_GB2312" w:hAnsi="仿宋_GB2312" w:eastAsia="仿宋_GB2312" w:cs="仿宋_GB2312"/>
          <w:sz w:val="32"/>
          <w:szCs w:val="32"/>
          <w:highlight w:val="none"/>
          <w:lang w:val="en-US" w:eastAsia="zh-CN"/>
        </w:rPr>
        <w:t>人防工程、环境保护等基础设施和公用设施，</w:t>
      </w:r>
      <w:r>
        <w:rPr>
          <w:rFonts w:hint="eastAsia" w:ascii="仿宋_GB2312" w:hAnsi="仿宋_GB2312" w:eastAsia="仿宋_GB2312" w:cs="仿宋_GB2312"/>
          <w:sz w:val="32"/>
          <w:szCs w:val="32"/>
          <w:highlight w:val="none"/>
          <w:lang w:val="en-US" w:eastAsia="zh-CN"/>
        </w:rPr>
        <w:t>在符合法规的前提下，鼓励开发建设单位在规划条件明确应在宗地内配建的各类公共服务配套服务设施之外，自主利用宗地范围内地下空间合理增配配套服务设施，包括家政便民、健康服务、体育健身、文化休闲等功能，供小区全体业主使用，但不得设置KTV、游戏厅等扰民的功能业态；结合住宅单体建筑设计，开发建设单位可统筹设置</w:t>
      </w:r>
      <w:r>
        <w:rPr>
          <w:rFonts w:hint="eastAsia" w:ascii="仿宋_GB2312" w:hAnsi="仿宋_GB2312" w:eastAsia="仿宋_GB2312" w:cs="仿宋_GB2312"/>
          <w:sz w:val="32"/>
          <w:szCs w:val="32"/>
          <w:highlight w:val="none"/>
        </w:rPr>
        <w:t>储藏室等</w:t>
      </w:r>
      <w:r>
        <w:rPr>
          <w:rFonts w:hint="eastAsia" w:ascii="仿宋_GB2312" w:hAnsi="仿宋_GB2312" w:eastAsia="仿宋_GB2312" w:cs="仿宋_GB2312"/>
          <w:sz w:val="32"/>
          <w:szCs w:val="32"/>
          <w:highlight w:val="none"/>
          <w:lang w:eastAsia="zh-CN"/>
        </w:rPr>
        <w:t>非住宅居住功能空间</w:t>
      </w:r>
      <w:r>
        <w:rPr>
          <w:rFonts w:hint="eastAsia" w:ascii="仿宋_GB2312" w:hAnsi="仿宋_GB2312" w:eastAsia="仿宋_GB2312" w:cs="仿宋_GB2312"/>
          <w:sz w:val="32"/>
          <w:szCs w:val="32"/>
          <w:highlight w:val="none"/>
          <w:lang w:val="en-US" w:eastAsia="zh-CN"/>
        </w:rPr>
        <w:t>。地下空间不得设置与住宅功能相关的卧室、起居室、餐厅、厨房以及其他相关政策法规明确禁止设置的功能空间。</w:t>
      </w:r>
    </w:p>
    <w:p w14:paraId="7D6B579A">
      <w:pPr>
        <w:keepNext w:val="0"/>
        <w:keepLines w:val="0"/>
        <w:pageBreakBefore w:val="0"/>
        <w:kinsoku/>
        <w:wordWrap/>
        <w:overflowPunct/>
        <w:topLinePunct w:val="0"/>
        <w:autoSpaceDE/>
        <w:autoSpaceDN/>
        <w:bidi w:val="0"/>
        <w:adjustRightInd/>
        <w:snapToGrid/>
        <w:spacing w:line="580" w:lineRule="exact"/>
        <w:ind w:firstLine="632" w:firstLineChars="200"/>
        <w:rPr>
          <w:rFonts w:hint="default" w:ascii="仿宋_GB2312" w:hAnsi="仿宋_GB2312" w:eastAsia="仿宋_GB2312" w:cs="仿宋_GB2312"/>
          <w:sz w:val="32"/>
          <w:szCs w:val="32"/>
          <w:highlight w:val="none"/>
          <w:lang w:val="en-US" w:eastAsia="zh-CN"/>
        </w:rPr>
      </w:pPr>
      <w:r>
        <w:rPr>
          <w:rFonts w:hint="eastAsia" w:ascii="楷体_GB2312" w:hAnsi="楷体_GB2312" w:eastAsia="楷体_GB2312" w:cs="楷体_GB2312"/>
          <w:sz w:val="32"/>
          <w:szCs w:val="32"/>
          <w:highlight w:val="none"/>
          <w:lang w:val="en-US" w:eastAsia="zh-CN"/>
        </w:rPr>
        <w:t>（二）规划条件编制和相关开发建设要求。</w:t>
      </w:r>
      <w:r>
        <w:rPr>
          <w:rFonts w:hint="eastAsia" w:ascii="仿宋_GB2312" w:hAnsi="仿宋_GB2312" w:eastAsia="仿宋_GB2312" w:cs="仿宋_GB2312"/>
          <w:sz w:val="32"/>
          <w:szCs w:val="32"/>
          <w:highlight w:val="none"/>
          <w:lang w:val="en-US" w:eastAsia="zh-CN"/>
        </w:rPr>
        <w:t>鼓励地下空间开发，编制城镇住宅用地规划条件时，应对住宅用地地下空间利用提出相关开发建设要求。用于增配的配套服务设施地下空间用途为地下城镇社区服务设施。</w:t>
      </w:r>
    </w:p>
    <w:p w14:paraId="7A56D25D">
      <w:pPr>
        <w:keepNext w:val="0"/>
        <w:keepLines w:val="0"/>
        <w:pageBreakBefore w:val="0"/>
        <w:widowControl/>
        <w:suppressLineNumbers w:val="0"/>
        <w:kinsoku/>
        <w:wordWrap/>
        <w:overflowPunct/>
        <w:topLinePunct w:val="0"/>
        <w:autoSpaceDE/>
        <w:autoSpaceDN/>
        <w:bidi w:val="0"/>
        <w:adjustRightInd/>
        <w:snapToGrid/>
        <w:spacing w:line="580" w:lineRule="exact"/>
        <w:ind w:firstLine="632" w:firstLineChars="200"/>
        <w:jc w:val="both"/>
        <w:textAlignment w:val="auto"/>
        <w:rPr>
          <w:rFonts w:hint="eastAsia" w:ascii="仿宋_GB2312" w:hAnsi="仿宋_GB2312" w:eastAsia="仿宋_GB2312" w:cs="仿宋_GB2312"/>
          <w:sz w:val="32"/>
          <w:szCs w:val="32"/>
          <w:highlight w:val="none"/>
          <w:lang w:val="en-US" w:eastAsia="zh-CN"/>
        </w:rPr>
      </w:pPr>
      <w:r>
        <w:rPr>
          <w:rFonts w:hint="eastAsia" w:ascii="仿宋_GB2312" w:hAnsi="仿宋_GB2312" w:eastAsia="仿宋_GB2312" w:cs="仿宋_GB2312"/>
          <w:sz w:val="32"/>
          <w:szCs w:val="32"/>
          <w:highlight w:val="none"/>
          <w:lang w:val="en-US" w:eastAsia="zh-CN"/>
        </w:rPr>
        <w:t>其中，结建地下空间的利用应满足以下要求：</w:t>
      </w:r>
    </w:p>
    <w:p w14:paraId="5576BBE9">
      <w:pPr>
        <w:keepNext w:val="0"/>
        <w:keepLines w:val="0"/>
        <w:pageBreakBefore w:val="0"/>
        <w:widowControl/>
        <w:numPr>
          <w:ilvl w:val="0"/>
          <w:numId w:val="0"/>
        </w:numPr>
        <w:suppressLineNumbers w:val="0"/>
        <w:kinsoku/>
        <w:wordWrap/>
        <w:overflowPunct/>
        <w:topLinePunct w:val="0"/>
        <w:autoSpaceDE/>
        <w:autoSpaceDN/>
        <w:bidi w:val="0"/>
        <w:adjustRightInd/>
        <w:snapToGrid/>
        <w:spacing w:line="580" w:lineRule="exact"/>
        <w:ind w:firstLine="632" w:firstLineChars="200"/>
        <w:jc w:val="both"/>
        <w:rPr>
          <w:rFonts w:hint="default" w:ascii="仿宋_GB2312" w:hAnsi="仿宋_GB2312" w:eastAsia="仿宋_GB2312" w:cs="仿宋_GB2312"/>
          <w:sz w:val="32"/>
          <w:szCs w:val="32"/>
          <w:highlight w:val="none"/>
          <w:lang w:val="en-US" w:eastAsia="zh-CN"/>
        </w:rPr>
      </w:pPr>
      <w:r>
        <w:rPr>
          <w:rFonts w:hint="eastAsia" w:ascii="仿宋_GB2312" w:hAnsi="仿宋_GB2312" w:eastAsia="仿宋_GB2312" w:cs="仿宋_GB2312"/>
          <w:sz w:val="32"/>
          <w:szCs w:val="32"/>
          <w:highlight w:val="none"/>
          <w:lang w:val="en-US" w:eastAsia="zh-CN"/>
        </w:rPr>
        <w:t>1.增配的配套服务设施在地下空间应相对集中配置。</w:t>
      </w:r>
    </w:p>
    <w:p w14:paraId="776A6C4E">
      <w:pPr>
        <w:keepNext w:val="0"/>
        <w:keepLines w:val="0"/>
        <w:pageBreakBefore w:val="0"/>
        <w:widowControl/>
        <w:numPr>
          <w:ilvl w:val="0"/>
          <w:numId w:val="0"/>
        </w:numPr>
        <w:suppressLineNumbers w:val="0"/>
        <w:kinsoku/>
        <w:wordWrap/>
        <w:overflowPunct/>
        <w:topLinePunct w:val="0"/>
        <w:autoSpaceDE/>
        <w:autoSpaceDN/>
        <w:bidi w:val="0"/>
        <w:adjustRightInd/>
        <w:snapToGrid/>
        <w:spacing w:line="580" w:lineRule="exact"/>
        <w:ind w:firstLine="632" w:firstLineChars="200"/>
        <w:jc w:val="both"/>
        <w:rPr>
          <w:rFonts w:hint="eastAsia" w:ascii="仿宋_GB2312" w:hAnsi="仿宋_GB2312" w:eastAsia="仿宋_GB2312" w:cs="仿宋_GB2312"/>
          <w:sz w:val="32"/>
          <w:szCs w:val="32"/>
          <w:highlight w:val="none"/>
          <w:lang w:val="en-US" w:eastAsia="zh-CN"/>
        </w:rPr>
      </w:pPr>
      <w:r>
        <w:rPr>
          <w:rFonts w:hint="eastAsia" w:ascii="仿宋_GB2312" w:hAnsi="仿宋_GB2312" w:eastAsia="仿宋_GB2312" w:cs="仿宋_GB2312"/>
          <w:sz w:val="32"/>
          <w:szCs w:val="32"/>
          <w:highlight w:val="none"/>
          <w:lang w:val="en-US" w:eastAsia="zh-CN"/>
        </w:rPr>
        <w:t>2.用于储藏室等</w:t>
      </w:r>
      <w:r>
        <w:rPr>
          <w:rFonts w:hint="eastAsia" w:ascii="仿宋_GB2312" w:hAnsi="仿宋_GB2312" w:eastAsia="仿宋_GB2312" w:cs="仿宋_GB2312"/>
          <w:sz w:val="32"/>
          <w:szCs w:val="32"/>
          <w:highlight w:val="none"/>
          <w:lang w:eastAsia="zh-CN"/>
        </w:rPr>
        <w:t>非</w:t>
      </w:r>
      <w:r>
        <w:rPr>
          <w:rFonts w:hint="eastAsia" w:ascii="仿宋_GB2312" w:hAnsi="仿宋_GB2312" w:eastAsia="仿宋_GB2312" w:cs="仿宋_GB2312"/>
          <w:sz w:val="32"/>
          <w:szCs w:val="32"/>
          <w:highlight w:val="none"/>
          <w:lang w:val="en-US" w:eastAsia="zh-CN"/>
        </w:rPr>
        <w:t>住宅</w:t>
      </w:r>
      <w:r>
        <w:rPr>
          <w:rFonts w:hint="eastAsia" w:ascii="仿宋_GB2312" w:hAnsi="仿宋_GB2312" w:eastAsia="仿宋_GB2312" w:cs="仿宋_GB2312"/>
          <w:sz w:val="32"/>
          <w:szCs w:val="32"/>
          <w:highlight w:val="none"/>
          <w:lang w:eastAsia="zh-CN"/>
        </w:rPr>
        <w:t>居住功能空间</w:t>
      </w:r>
      <w:r>
        <w:rPr>
          <w:rFonts w:hint="eastAsia" w:ascii="仿宋_GB2312" w:hAnsi="仿宋_GB2312" w:eastAsia="仿宋_GB2312" w:cs="仿宋_GB2312"/>
          <w:sz w:val="32"/>
          <w:szCs w:val="32"/>
          <w:highlight w:val="none"/>
          <w:lang w:val="en-US" w:eastAsia="zh-CN"/>
        </w:rPr>
        <w:t>设置区域应位于地上住宅建筑下方相应范围，一般应当在建筑基底最大轮廓线以内，可与地上住宅套内连通或通过相应垂直交通方便到达。上述功能，同时须满足相关消防、人防、应急防灾等相关规范的要求。</w:t>
      </w:r>
    </w:p>
    <w:p w14:paraId="67630B42">
      <w:pPr>
        <w:keepNext w:val="0"/>
        <w:keepLines w:val="0"/>
        <w:pageBreakBefore w:val="0"/>
        <w:widowControl/>
        <w:suppressLineNumbers w:val="0"/>
        <w:kinsoku/>
        <w:wordWrap/>
        <w:overflowPunct/>
        <w:topLinePunct w:val="0"/>
        <w:autoSpaceDE/>
        <w:autoSpaceDN/>
        <w:bidi w:val="0"/>
        <w:adjustRightInd/>
        <w:snapToGrid/>
        <w:spacing w:line="580" w:lineRule="exact"/>
        <w:ind w:firstLine="632" w:firstLineChars="200"/>
        <w:jc w:val="both"/>
        <w:rPr>
          <w:rFonts w:hint="default" w:ascii="仿宋_GB2312" w:hAnsi="仿宋_GB2312" w:eastAsia="仿宋_GB2312" w:cs="仿宋_GB2312"/>
          <w:sz w:val="32"/>
          <w:szCs w:val="32"/>
          <w:highlight w:val="none"/>
          <w:lang w:val="en-US" w:eastAsia="zh-CN"/>
        </w:rPr>
      </w:pPr>
      <w:r>
        <w:rPr>
          <w:rFonts w:hint="eastAsia" w:ascii="仿宋_GB2312" w:hAnsi="仿宋_GB2312" w:eastAsia="仿宋_GB2312" w:cs="仿宋_GB2312"/>
          <w:sz w:val="32"/>
          <w:szCs w:val="32"/>
          <w:highlight w:val="none"/>
          <w:lang w:val="en-US" w:eastAsia="zh-CN"/>
        </w:rPr>
        <w:t>低层住宅地下非住宅居住功能空间可与地上住宅套内直接连通。多高层住宅，地下储藏室等非住宅居住功能空间可与地上住宅套内直接连通（仅限地上一层住户），也可集中布置，或采用两种方式相结合，并实现分户使用；集中布置的，应通过公共交通空间方便到达。上述功能建筑面积不得大于地上住宅相应住户套内使用面积的70%，相应地下室底板标高不得低于地块地下一层主体地下室底板相应标高。</w:t>
      </w:r>
    </w:p>
    <w:p w14:paraId="2FC73E8B">
      <w:pPr>
        <w:keepNext w:val="0"/>
        <w:keepLines w:val="0"/>
        <w:pageBreakBefore w:val="0"/>
        <w:kinsoku/>
        <w:wordWrap/>
        <w:overflowPunct/>
        <w:topLinePunct w:val="0"/>
        <w:autoSpaceDE/>
        <w:autoSpaceDN/>
        <w:bidi w:val="0"/>
        <w:adjustRightInd/>
        <w:snapToGrid/>
        <w:spacing w:line="580" w:lineRule="exact"/>
        <w:ind w:firstLine="632" w:firstLineChars="200"/>
        <w:textAlignment w:val="baseline"/>
        <w:rPr>
          <w:rFonts w:hint="default" w:ascii="黑体" w:hAnsi="黑体" w:eastAsia="黑体" w:cs="黑体"/>
          <w:sz w:val="32"/>
          <w:szCs w:val="32"/>
          <w:highlight w:val="none"/>
          <w:lang w:val="en-US" w:eastAsia="zh-CN"/>
        </w:rPr>
      </w:pPr>
      <w:r>
        <w:rPr>
          <w:rFonts w:hint="eastAsia" w:ascii="黑体" w:hAnsi="黑体" w:eastAsia="黑体" w:cs="黑体"/>
          <w:sz w:val="32"/>
          <w:szCs w:val="32"/>
          <w:highlight w:val="none"/>
          <w:lang w:val="en-US" w:eastAsia="zh-CN"/>
        </w:rPr>
        <w:t>二、健全地下空间供应政策</w:t>
      </w:r>
    </w:p>
    <w:p w14:paraId="68E8FCBB">
      <w:pPr>
        <w:keepNext w:val="0"/>
        <w:keepLines w:val="0"/>
        <w:pageBreakBefore w:val="0"/>
        <w:kinsoku/>
        <w:wordWrap/>
        <w:overflowPunct/>
        <w:topLinePunct w:val="0"/>
        <w:autoSpaceDE/>
        <w:autoSpaceDN/>
        <w:bidi w:val="0"/>
        <w:adjustRightInd/>
        <w:snapToGrid/>
        <w:spacing w:line="580" w:lineRule="exact"/>
        <w:ind w:firstLine="632" w:firstLineChars="200"/>
        <w:rPr>
          <w:rFonts w:hint="default" w:ascii="仿宋_GB2312" w:hAnsi="仿宋_GB2312" w:eastAsia="仿宋_GB2312" w:cs="仿宋_GB2312"/>
          <w:sz w:val="32"/>
          <w:szCs w:val="32"/>
          <w:highlight w:val="none"/>
          <w:lang w:val="en-US" w:eastAsia="zh-CN"/>
        </w:rPr>
      </w:pPr>
      <w:r>
        <w:rPr>
          <w:rFonts w:hint="eastAsia" w:ascii="楷体_GB2312" w:hAnsi="楷体_GB2312" w:eastAsia="楷体_GB2312" w:cs="楷体_GB2312"/>
          <w:sz w:val="32"/>
          <w:szCs w:val="32"/>
          <w:highlight w:val="none"/>
          <w:lang w:val="en-US" w:eastAsia="zh-CN"/>
        </w:rPr>
        <w:t>（三）规范地下空间供应方式。</w:t>
      </w:r>
      <w:r>
        <w:rPr>
          <w:rFonts w:hint="eastAsia" w:ascii="仿宋_GB2312" w:hAnsi="仿宋_GB2312" w:eastAsia="仿宋_GB2312" w:cs="仿宋_GB2312"/>
          <w:sz w:val="32"/>
          <w:szCs w:val="32"/>
          <w:highlight w:val="none"/>
          <w:lang w:val="en-US" w:eastAsia="zh-CN"/>
        </w:rPr>
        <w:t>结建地下工程的国有建设用地使用权随同地表建设用地使用权一并取得，结建地下空间使用期限不得超过其土地用途对应的法定最高年限，且不超过该宗地地表部分的出让年限。地下空间使用权用于增配配套服务设施及储藏室等功能的，根据规划条件和土地出让合同约定执行。</w:t>
      </w:r>
    </w:p>
    <w:p w14:paraId="01BB7B66">
      <w:pPr>
        <w:keepNext w:val="0"/>
        <w:keepLines w:val="0"/>
        <w:pageBreakBefore w:val="0"/>
        <w:kinsoku/>
        <w:wordWrap/>
        <w:overflowPunct/>
        <w:topLinePunct w:val="0"/>
        <w:autoSpaceDE/>
        <w:autoSpaceDN/>
        <w:bidi w:val="0"/>
        <w:adjustRightInd/>
        <w:snapToGrid/>
        <w:spacing w:line="580" w:lineRule="exact"/>
        <w:rPr>
          <w:rFonts w:hint="eastAsia" w:ascii="黑体" w:hAnsi="黑体" w:eastAsia="黑体" w:cs="黑体"/>
          <w:sz w:val="32"/>
          <w:szCs w:val="32"/>
          <w:highlight w:val="none"/>
          <w:lang w:val="en-US" w:eastAsia="zh-CN"/>
        </w:rPr>
      </w:pPr>
      <w:r>
        <w:rPr>
          <w:rFonts w:hint="eastAsia" w:ascii="仿宋_GB2312" w:hAnsi="仿宋_GB2312" w:eastAsia="仿宋_GB2312" w:cs="仿宋_GB2312"/>
          <w:sz w:val="32"/>
          <w:szCs w:val="32"/>
          <w:highlight w:val="none"/>
          <w:lang w:val="en-US" w:eastAsia="zh-CN"/>
        </w:rPr>
        <w:tab/>
      </w:r>
      <w:r>
        <w:rPr>
          <w:rFonts w:hint="eastAsia" w:ascii="仿宋_GB2312" w:hAnsi="仿宋_GB2312" w:eastAsia="仿宋_GB2312" w:cs="仿宋_GB2312"/>
          <w:sz w:val="32"/>
          <w:szCs w:val="32"/>
          <w:highlight w:val="none"/>
          <w:lang w:val="en-US" w:eastAsia="zh-CN"/>
        </w:rPr>
        <w:t xml:space="preserve">  </w:t>
      </w:r>
      <w:r>
        <w:rPr>
          <w:rFonts w:hint="eastAsia" w:ascii="黑体" w:hAnsi="黑体" w:eastAsia="黑体" w:cs="黑体"/>
          <w:sz w:val="32"/>
          <w:szCs w:val="32"/>
          <w:highlight w:val="none"/>
          <w:lang w:val="en-US" w:eastAsia="zh-CN"/>
        </w:rPr>
        <w:t>三、规范工程建设管理</w:t>
      </w:r>
    </w:p>
    <w:p w14:paraId="5E47E4B0">
      <w:pPr>
        <w:keepNext w:val="0"/>
        <w:keepLines w:val="0"/>
        <w:pageBreakBefore w:val="0"/>
        <w:widowControl/>
        <w:suppressLineNumbers w:val="0"/>
        <w:kinsoku/>
        <w:wordWrap/>
        <w:overflowPunct/>
        <w:topLinePunct w:val="0"/>
        <w:autoSpaceDE/>
        <w:autoSpaceDN/>
        <w:bidi w:val="0"/>
        <w:adjustRightInd/>
        <w:snapToGrid/>
        <w:spacing w:line="580" w:lineRule="exact"/>
        <w:ind w:firstLine="632" w:firstLineChars="200"/>
        <w:jc w:val="both"/>
        <w:rPr>
          <w:rFonts w:hint="default" w:ascii="仿宋_GB2312" w:hAnsi="仿宋_GB2312" w:eastAsia="仿宋_GB2312" w:cs="仿宋_GB2312"/>
          <w:sz w:val="32"/>
          <w:szCs w:val="32"/>
          <w:highlight w:val="none"/>
        </w:rPr>
      </w:pPr>
      <w:r>
        <w:rPr>
          <w:rFonts w:hint="eastAsia" w:ascii="楷体_GB2312" w:hAnsi="楷体_GB2312" w:eastAsia="楷体_GB2312" w:cs="楷体_GB2312"/>
          <w:sz w:val="32"/>
          <w:szCs w:val="32"/>
          <w:highlight w:val="none"/>
          <w:lang w:val="en-US" w:eastAsia="zh-CN"/>
        </w:rPr>
        <w:t>（四）规范规划许可管理。</w:t>
      </w:r>
      <w:r>
        <w:rPr>
          <w:rFonts w:hint="default" w:ascii="仿宋_GB2312" w:hAnsi="仿宋_GB2312" w:eastAsia="仿宋_GB2312" w:cs="仿宋_GB2312"/>
          <w:sz w:val="32"/>
          <w:szCs w:val="32"/>
          <w:highlight w:val="none"/>
          <w:lang w:val="en-US" w:eastAsia="zh-CN"/>
        </w:rPr>
        <w:t>结建地下空间工程</w:t>
      </w:r>
      <w:r>
        <w:rPr>
          <w:rFonts w:hint="eastAsia" w:ascii="仿宋_GB2312" w:hAnsi="仿宋_GB2312" w:eastAsia="仿宋_GB2312" w:cs="仿宋_GB2312"/>
          <w:sz w:val="32"/>
          <w:szCs w:val="32"/>
          <w:highlight w:val="none"/>
          <w:lang w:val="en-US" w:eastAsia="zh-CN"/>
        </w:rPr>
        <w:t>一般应当与</w:t>
      </w:r>
      <w:r>
        <w:rPr>
          <w:rFonts w:hint="default" w:ascii="仿宋_GB2312" w:hAnsi="仿宋_GB2312" w:eastAsia="仿宋_GB2312" w:cs="仿宋_GB2312"/>
          <w:sz w:val="32"/>
          <w:szCs w:val="32"/>
          <w:highlight w:val="none"/>
          <w:lang w:val="en-US" w:eastAsia="zh-CN"/>
        </w:rPr>
        <w:t>地面建筑工程一并取得建设工程规划许可证。建设单位申</w:t>
      </w:r>
      <w:r>
        <w:rPr>
          <w:rFonts w:hint="eastAsia" w:ascii="仿宋_GB2312" w:hAnsi="仿宋_GB2312" w:eastAsia="仿宋_GB2312" w:cs="仿宋_GB2312"/>
          <w:sz w:val="32"/>
          <w:szCs w:val="32"/>
          <w:highlight w:val="none"/>
          <w:lang w:val="en-US" w:eastAsia="zh-CN"/>
        </w:rPr>
        <w:t>请</w:t>
      </w:r>
      <w:r>
        <w:rPr>
          <w:rFonts w:hint="default" w:ascii="仿宋_GB2312" w:hAnsi="仿宋_GB2312" w:eastAsia="仿宋_GB2312" w:cs="仿宋_GB2312"/>
          <w:sz w:val="32"/>
          <w:szCs w:val="32"/>
          <w:highlight w:val="none"/>
          <w:lang w:val="en-US" w:eastAsia="zh-CN"/>
        </w:rPr>
        <w:t>建设工程规划许可证时，应当列表</w:t>
      </w:r>
      <w:r>
        <w:rPr>
          <w:rFonts w:hint="eastAsia" w:ascii="仿宋_GB2312" w:hAnsi="仿宋_GB2312" w:eastAsia="仿宋_GB2312" w:cs="仿宋_GB2312"/>
          <w:sz w:val="32"/>
          <w:szCs w:val="32"/>
          <w:highlight w:val="none"/>
          <w:lang w:val="en-US" w:eastAsia="zh-CN"/>
        </w:rPr>
        <w:t>地下空间</w:t>
      </w:r>
      <w:r>
        <w:rPr>
          <w:rFonts w:hint="default" w:ascii="仿宋_GB2312" w:hAnsi="仿宋_GB2312" w:eastAsia="仿宋_GB2312" w:cs="仿宋_GB2312"/>
          <w:sz w:val="32"/>
          <w:szCs w:val="32"/>
          <w:highlight w:val="none"/>
          <w:lang w:val="en-US" w:eastAsia="zh-CN"/>
        </w:rPr>
        <w:t>各类</w:t>
      </w:r>
      <w:r>
        <w:rPr>
          <w:rFonts w:hint="eastAsia" w:ascii="仿宋_GB2312" w:hAnsi="仿宋_GB2312" w:eastAsia="仿宋_GB2312" w:cs="仿宋_GB2312"/>
          <w:sz w:val="32"/>
          <w:szCs w:val="32"/>
          <w:highlight w:val="none"/>
          <w:lang w:val="en-US" w:eastAsia="zh-CN"/>
        </w:rPr>
        <w:t>功能</w:t>
      </w:r>
      <w:r>
        <w:rPr>
          <w:rFonts w:hint="default" w:ascii="仿宋_GB2312" w:hAnsi="仿宋_GB2312" w:eastAsia="仿宋_GB2312" w:cs="仿宋_GB2312"/>
          <w:sz w:val="32"/>
          <w:szCs w:val="32"/>
          <w:highlight w:val="none"/>
          <w:lang w:val="en-US" w:eastAsia="zh-CN"/>
        </w:rPr>
        <w:t>用途的建筑面积，</w:t>
      </w:r>
      <w:r>
        <w:rPr>
          <w:rFonts w:hint="eastAsia" w:ascii="仿宋_GB2312" w:hAnsi="仿宋_GB2312" w:eastAsia="仿宋_GB2312" w:cs="仿宋_GB2312"/>
          <w:sz w:val="32"/>
          <w:szCs w:val="32"/>
          <w:highlight w:val="none"/>
          <w:lang w:val="en-US" w:eastAsia="zh-CN"/>
        </w:rPr>
        <w:t>同时明确增配</w:t>
      </w:r>
      <w:r>
        <w:rPr>
          <w:rFonts w:hint="eastAsia" w:ascii="仿宋_GB2312" w:hAnsi="仿宋_GB2312" w:eastAsia="仿宋_GB2312" w:cs="仿宋_GB2312"/>
          <w:strike w:val="0"/>
          <w:sz w:val="32"/>
          <w:szCs w:val="32"/>
          <w:highlight w:val="none"/>
          <w:lang w:val="en-US" w:eastAsia="zh-CN"/>
        </w:rPr>
        <w:t>配套服务设施</w:t>
      </w:r>
      <w:r>
        <w:rPr>
          <w:rFonts w:hint="eastAsia" w:ascii="仿宋_GB2312" w:hAnsi="仿宋_GB2312" w:eastAsia="仿宋_GB2312" w:cs="仿宋_GB2312"/>
          <w:sz w:val="32"/>
          <w:szCs w:val="32"/>
          <w:highlight w:val="none"/>
          <w:lang w:val="en-US" w:eastAsia="zh-CN"/>
        </w:rPr>
        <w:t>相应用途的建筑面积，</w:t>
      </w:r>
      <w:r>
        <w:rPr>
          <w:rFonts w:hint="default" w:ascii="仿宋_GB2312" w:hAnsi="仿宋_GB2312" w:eastAsia="仿宋_GB2312" w:cs="仿宋_GB2312"/>
          <w:sz w:val="32"/>
          <w:szCs w:val="32"/>
          <w:highlight w:val="none"/>
          <w:lang w:val="en-US" w:eastAsia="zh-CN"/>
        </w:rPr>
        <w:t>并在相关图纸中明确</w:t>
      </w:r>
      <w:r>
        <w:rPr>
          <w:rFonts w:hint="eastAsia" w:ascii="仿宋_GB2312" w:hAnsi="仿宋_GB2312" w:eastAsia="仿宋_GB2312" w:cs="仿宋_GB2312"/>
          <w:sz w:val="32"/>
          <w:szCs w:val="32"/>
          <w:highlight w:val="none"/>
          <w:lang w:val="en-US" w:eastAsia="zh-CN"/>
        </w:rPr>
        <w:t>标注用途和</w:t>
      </w:r>
      <w:r>
        <w:rPr>
          <w:rFonts w:hint="default" w:ascii="仿宋_GB2312" w:hAnsi="仿宋_GB2312" w:eastAsia="仿宋_GB2312" w:cs="仿宋_GB2312"/>
          <w:sz w:val="32"/>
          <w:szCs w:val="32"/>
          <w:highlight w:val="none"/>
          <w:lang w:val="en-US" w:eastAsia="zh-CN"/>
        </w:rPr>
        <w:t>范围</w:t>
      </w:r>
      <w:r>
        <w:rPr>
          <w:rFonts w:hint="eastAsia" w:ascii="仿宋_GB2312" w:hAnsi="仿宋_GB2312" w:eastAsia="仿宋_GB2312" w:cs="仿宋_GB2312"/>
          <w:sz w:val="32"/>
          <w:szCs w:val="32"/>
          <w:highlight w:val="none"/>
          <w:lang w:val="en-US" w:eastAsia="zh-CN"/>
        </w:rPr>
        <w:t>，用途标注为“配套服务设施（体育健身等）”</w:t>
      </w:r>
      <w:r>
        <w:rPr>
          <w:rFonts w:hint="default" w:ascii="仿宋_GB2312" w:hAnsi="仿宋_GB2312" w:eastAsia="仿宋_GB2312" w:cs="仿宋_GB2312"/>
          <w:sz w:val="32"/>
          <w:szCs w:val="32"/>
          <w:highlight w:val="none"/>
          <w:lang w:val="en" w:eastAsia="zh-CN"/>
        </w:rPr>
        <w:t>,</w:t>
      </w:r>
      <w:r>
        <w:rPr>
          <w:rFonts w:hint="eastAsia" w:ascii="仿宋_GB2312" w:hAnsi="仿宋_GB2312" w:eastAsia="仿宋_GB2312" w:cs="仿宋_GB2312"/>
          <w:sz w:val="32"/>
          <w:szCs w:val="32"/>
          <w:highlight w:val="none"/>
          <w:lang w:val="en-US" w:eastAsia="zh-CN"/>
        </w:rPr>
        <w:t>增配的配套服务设施无需配建停车位。</w:t>
      </w:r>
      <w:r>
        <w:rPr>
          <w:rFonts w:hint="default" w:ascii="仿宋_GB2312" w:hAnsi="仿宋_GB2312" w:eastAsia="仿宋_GB2312" w:cs="仿宋_GB2312"/>
          <w:sz w:val="32"/>
          <w:szCs w:val="32"/>
          <w:highlight w:val="none"/>
          <w:lang w:val="en-US" w:eastAsia="zh-CN"/>
        </w:rPr>
        <w:t>对于储藏室等</w:t>
      </w:r>
      <w:r>
        <w:rPr>
          <w:rFonts w:hint="eastAsia" w:ascii="仿宋_GB2312" w:hAnsi="仿宋_GB2312" w:eastAsia="仿宋_GB2312" w:cs="仿宋_GB2312"/>
          <w:sz w:val="32"/>
          <w:szCs w:val="32"/>
          <w:highlight w:val="none"/>
          <w:lang w:val="en-US" w:eastAsia="zh-CN"/>
        </w:rPr>
        <w:t>非住宅居住功能空间</w:t>
      </w:r>
      <w:r>
        <w:rPr>
          <w:rFonts w:hint="default" w:ascii="仿宋_GB2312" w:hAnsi="仿宋_GB2312" w:eastAsia="仿宋_GB2312" w:cs="仿宋_GB2312"/>
          <w:sz w:val="32"/>
          <w:szCs w:val="32"/>
          <w:highlight w:val="none"/>
          <w:lang w:val="en-US" w:eastAsia="zh-CN"/>
        </w:rPr>
        <w:t>，应统一表达为</w:t>
      </w:r>
      <w:r>
        <w:rPr>
          <w:rFonts w:hint="eastAsia" w:ascii="仿宋_GB2312" w:hAnsi="仿宋_GB2312" w:eastAsia="仿宋_GB2312" w:cs="仿宋_GB2312"/>
          <w:sz w:val="32"/>
          <w:szCs w:val="32"/>
          <w:highlight w:val="none"/>
          <w:lang w:val="en-US" w:eastAsia="zh-CN"/>
        </w:rPr>
        <w:t>“</w:t>
      </w:r>
      <w:r>
        <w:rPr>
          <w:rFonts w:hint="default" w:ascii="仿宋_GB2312" w:hAnsi="仿宋_GB2312" w:eastAsia="仿宋_GB2312" w:cs="仿宋_GB2312"/>
          <w:sz w:val="32"/>
          <w:szCs w:val="32"/>
          <w:highlight w:val="none"/>
          <w:lang w:val="en-US" w:eastAsia="zh-CN"/>
        </w:rPr>
        <w:t>其他地下用房（储藏室等）</w:t>
      </w:r>
      <w:r>
        <w:rPr>
          <w:rFonts w:hint="eastAsia" w:ascii="仿宋_GB2312" w:hAnsi="仿宋_GB2312" w:eastAsia="仿宋_GB2312" w:cs="仿宋_GB2312"/>
          <w:sz w:val="32"/>
          <w:szCs w:val="32"/>
          <w:highlight w:val="none"/>
          <w:lang w:val="en-US" w:eastAsia="zh-CN"/>
        </w:rPr>
        <w:t>”</w:t>
      </w:r>
      <w:r>
        <w:rPr>
          <w:rFonts w:hint="default" w:ascii="仿宋_GB2312" w:hAnsi="仿宋_GB2312" w:eastAsia="仿宋_GB2312" w:cs="仿宋_GB2312"/>
          <w:sz w:val="32"/>
          <w:szCs w:val="32"/>
          <w:highlight w:val="none"/>
          <w:lang w:val="en-US" w:eastAsia="zh-CN"/>
        </w:rPr>
        <w:t>。</w:t>
      </w:r>
      <w:r>
        <w:rPr>
          <w:rFonts w:hint="eastAsia" w:ascii="仿宋_GB2312" w:hAnsi="仿宋_GB2312" w:eastAsia="仿宋_GB2312" w:cs="仿宋_GB2312"/>
          <w:sz w:val="32"/>
          <w:szCs w:val="32"/>
          <w:highlight w:val="none"/>
          <w:lang w:val="en-US" w:eastAsia="zh-CN"/>
        </w:rPr>
        <w:t>自然</w:t>
      </w:r>
      <w:r>
        <w:rPr>
          <w:rFonts w:hint="default" w:ascii="仿宋_GB2312" w:hAnsi="仿宋_GB2312" w:eastAsia="仿宋_GB2312" w:cs="仿宋_GB2312"/>
          <w:sz w:val="32"/>
          <w:szCs w:val="32"/>
          <w:highlight w:val="none"/>
          <w:lang w:val="en-US" w:eastAsia="zh-CN"/>
        </w:rPr>
        <w:t>资源规划部门核发建设工程规划许可证时，应当</w:t>
      </w:r>
      <w:r>
        <w:rPr>
          <w:rFonts w:hint="eastAsia" w:ascii="仿宋_GB2312" w:hAnsi="仿宋_GB2312" w:eastAsia="仿宋_GB2312" w:cs="仿宋_GB2312"/>
          <w:sz w:val="32"/>
          <w:szCs w:val="32"/>
          <w:highlight w:val="none"/>
          <w:lang w:val="en-US" w:eastAsia="zh-CN"/>
        </w:rPr>
        <w:t>在附图经济技术指标表中</w:t>
      </w:r>
      <w:r>
        <w:rPr>
          <w:rFonts w:hint="default" w:ascii="仿宋_GB2312" w:hAnsi="仿宋_GB2312" w:eastAsia="仿宋_GB2312" w:cs="仿宋_GB2312"/>
          <w:sz w:val="32"/>
          <w:szCs w:val="32"/>
          <w:highlight w:val="none"/>
          <w:lang w:val="en-US" w:eastAsia="zh-CN"/>
        </w:rPr>
        <w:t>将地下建筑面积分类</w:t>
      </w:r>
      <w:r>
        <w:rPr>
          <w:rFonts w:hint="eastAsia" w:ascii="仿宋_GB2312" w:hAnsi="仿宋_GB2312" w:eastAsia="仿宋_GB2312" w:cs="仿宋_GB2312"/>
          <w:sz w:val="32"/>
          <w:szCs w:val="32"/>
          <w:highlight w:val="none"/>
          <w:lang w:val="en-US" w:eastAsia="zh-CN"/>
        </w:rPr>
        <w:t>表述</w:t>
      </w:r>
      <w:r>
        <w:rPr>
          <w:rFonts w:hint="default" w:ascii="仿宋_GB2312" w:hAnsi="仿宋_GB2312" w:eastAsia="仿宋_GB2312" w:cs="仿宋_GB2312"/>
          <w:sz w:val="32"/>
          <w:szCs w:val="32"/>
          <w:highlight w:val="none"/>
          <w:lang w:val="en-US" w:eastAsia="zh-CN"/>
        </w:rPr>
        <w:t>。</w:t>
      </w:r>
    </w:p>
    <w:p w14:paraId="0E843B43">
      <w:pPr>
        <w:keepNext w:val="0"/>
        <w:keepLines w:val="0"/>
        <w:pageBreakBefore w:val="0"/>
        <w:widowControl/>
        <w:suppressLineNumbers w:val="0"/>
        <w:kinsoku/>
        <w:wordWrap/>
        <w:overflowPunct/>
        <w:topLinePunct w:val="0"/>
        <w:autoSpaceDE/>
        <w:autoSpaceDN/>
        <w:bidi w:val="0"/>
        <w:adjustRightInd/>
        <w:snapToGrid/>
        <w:spacing w:line="580" w:lineRule="exact"/>
        <w:ind w:firstLine="632" w:firstLineChars="200"/>
        <w:jc w:val="both"/>
        <w:rPr>
          <w:rFonts w:hint="default" w:ascii="仿宋_GB2312" w:hAnsi="仿宋_GB2312" w:eastAsia="仿宋_GB2312" w:cs="仿宋_GB2312"/>
          <w:sz w:val="32"/>
          <w:szCs w:val="32"/>
          <w:highlight w:val="none"/>
          <w:lang w:val="en-US" w:eastAsia="zh-CN"/>
        </w:rPr>
      </w:pPr>
      <w:r>
        <w:rPr>
          <w:rFonts w:hint="eastAsia" w:ascii="楷体_GB2312" w:hAnsi="楷体_GB2312" w:eastAsia="楷体_GB2312" w:cs="楷体_GB2312"/>
          <w:sz w:val="32"/>
          <w:szCs w:val="32"/>
          <w:highlight w:val="none"/>
          <w:lang w:val="en-US" w:eastAsia="zh-CN"/>
        </w:rPr>
        <w:t>（五）加强工程施工管理。</w:t>
      </w:r>
      <w:r>
        <w:rPr>
          <w:rFonts w:hint="eastAsia" w:ascii="仿宋_GB2312" w:hAnsi="仿宋_GB2312" w:eastAsia="仿宋_GB2312" w:cs="仿宋_GB2312"/>
          <w:sz w:val="32"/>
          <w:szCs w:val="32"/>
          <w:highlight w:val="none"/>
          <w:lang w:val="en-US" w:eastAsia="zh-CN"/>
        </w:rPr>
        <w:t>原则上</w:t>
      </w:r>
      <w:r>
        <w:rPr>
          <w:rFonts w:hint="default" w:ascii="仿宋_GB2312" w:hAnsi="仿宋_GB2312" w:eastAsia="仿宋_GB2312" w:cs="仿宋_GB2312"/>
          <w:sz w:val="32"/>
          <w:szCs w:val="32"/>
          <w:highlight w:val="none"/>
          <w:lang w:val="en-US" w:eastAsia="zh-CN"/>
        </w:rPr>
        <w:t>结建地下</w:t>
      </w:r>
      <w:r>
        <w:rPr>
          <w:rFonts w:hint="eastAsia" w:ascii="仿宋_GB2312" w:hAnsi="仿宋_GB2312" w:eastAsia="仿宋_GB2312" w:cs="仿宋_GB2312"/>
          <w:sz w:val="32"/>
          <w:szCs w:val="32"/>
          <w:highlight w:val="none"/>
          <w:lang w:val="en-US" w:eastAsia="zh-CN"/>
        </w:rPr>
        <w:t>建设</w:t>
      </w:r>
      <w:r>
        <w:rPr>
          <w:rFonts w:hint="default" w:ascii="仿宋_GB2312" w:hAnsi="仿宋_GB2312" w:eastAsia="仿宋_GB2312" w:cs="仿宋_GB2312"/>
          <w:sz w:val="32"/>
          <w:szCs w:val="32"/>
          <w:highlight w:val="none"/>
          <w:lang w:val="en-US" w:eastAsia="zh-CN"/>
        </w:rPr>
        <w:t>工程应当与地面</w:t>
      </w:r>
      <w:r>
        <w:rPr>
          <w:rFonts w:hint="eastAsia" w:ascii="仿宋_GB2312" w:hAnsi="仿宋_GB2312" w:eastAsia="仿宋_GB2312" w:cs="仿宋_GB2312"/>
          <w:sz w:val="32"/>
          <w:szCs w:val="32"/>
          <w:highlight w:val="none"/>
          <w:lang w:val="en-US" w:eastAsia="zh-CN"/>
        </w:rPr>
        <w:t>建设</w:t>
      </w:r>
      <w:r>
        <w:rPr>
          <w:rFonts w:hint="default" w:ascii="仿宋_GB2312" w:hAnsi="仿宋_GB2312" w:eastAsia="仿宋_GB2312" w:cs="仿宋_GB2312"/>
          <w:sz w:val="32"/>
          <w:szCs w:val="32"/>
          <w:highlight w:val="none"/>
          <w:lang w:val="en-US" w:eastAsia="zh-CN"/>
        </w:rPr>
        <w:t>工程一并取得建设工程施工许可证</w:t>
      </w:r>
      <w:r>
        <w:rPr>
          <w:rFonts w:hint="eastAsia" w:ascii="仿宋_GB2312" w:hAnsi="仿宋_GB2312" w:eastAsia="仿宋_GB2312" w:cs="仿宋_GB2312"/>
          <w:sz w:val="32"/>
          <w:szCs w:val="32"/>
          <w:highlight w:val="none"/>
          <w:lang w:val="en-US" w:eastAsia="zh-CN"/>
        </w:rPr>
        <w:t>；确有需要分层核发建设工程施工许可证的，建设单位须向住建部门提出书面申请</w:t>
      </w:r>
      <w:r>
        <w:rPr>
          <w:rFonts w:hint="default" w:ascii="仿宋_GB2312" w:hAnsi="仿宋_GB2312" w:eastAsia="仿宋_GB2312" w:cs="仿宋_GB2312"/>
          <w:sz w:val="32"/>
          <w:szCs w:val="32"/>
          <w:highlight w:val="none"/>
          <w:lang w:val="en-US" w:eastAsia="zh-CN"/>
        </w:rPr>
        <w:t>。</w:t>
      </w:r>
      <w:r>
        <w:rPr>
          <w:rFonts w:hint="eastAsia" w:ascii="仿宋_GB2312" w:hAnsi="仿宋_GB2312" w:eastAsia="仿宋_GB2312" w:cs="仿宋_GB2312"/>
          <w:sz w:val="32"/>
          <w:szCs w:val="32"/>
          <w:highlight w:val="none"/>
          <w:lang w:val="en-US" w:eastAsia="zh-CN"/>
        </w:rPr>
        <w:t>建设单位应按施工许可的要求进行地下空间建设，不得擅自变更相关许可内容。</w:t>
      </w:r>
    </w:p>
    <w:p w14:paraId="38A291CB">
      <w:pPr>
        <w:keepNext w:val="0"/>
        <w:keepLines w:val="0"/>
        <w:pageBreakBefore w:val="0"/>
        <w:widowControl/>
        <w:suppressLineNumbers w:val="0"/>
        <w:kinsoku/>
        <w:wordWrap/>
        <w:overflowPunct/>
        <w:topLinePunct w:val="0"/>
        <w:autoSpaceDE/>
        <w:autoSpaceDN/>
        <w:bidi w:val="0"/>
        <w:adjustRightInd/>
        <w:snapToGrid/>
        <w:spacing w:line="580" w:lineRule="exact"/>
        <w:ind w:firstLine="632" w:firstLineChars="200"/>
        <w:jc w:val="both"/>
        <w:rPr>
          <w:rFonts w:hint="default" w:ascii="仿宋_GB2312" w:hAnsi="仿宋_GB2312" w:eastAsia="仿宋_GB2312" w:cs="仿宋_GB2312"/>
          <w:strike/>
          <w:dstrike w:val="0"/>
          <w:sz w:val="32"/>
          <w:szCs w:val="32"/>
          <w:highlight w:val="none"/>
          <w:lang w:val="en-US" w:eastAsia="zh-CN"/>
        </w:rPr>
      </w:pPr>
      <w:r>
        <w:rPr>
          <w:rFonts w:hint="eastAsia" w:ascii="楷体_GB2312" w:hAnsi="楷体_GB2312" w:eastAsia="楷体_GB2312" w:cs="楷体_GB2312"/>
          <w:sz w:val="32"/>
          <w:szCs w:val="32"/>
          <w:highlight w:val="none"/>
          <w:lang w:val="en-US" w:eastAsia="zh-CN"/>
        </w:rPr>
        <w:t>（六）规范地下工程验收。</w:t>
      </w:r>
      <w:r>
        <w:rPr>
          <w:rFonts w:hint="default" w:ascii="仿宋_GB2312" w:hAnsi="仿宋_GB2312" w:eastAsia="仿宋_GB2312" w:cs="仿宋_GB2312"/>
          <w:sz w:val="32"/>
          <w:szCs w:val="32"/>
          <w:highlight w:val="none"/>
          <w:lang w:val="en-US" w:eastAsia="zh-CN"/>
        </w:rPr>
        <w:t>结建地下</w:t>
      </w:r>
      <w:r>
        <w:rPr>
          <w:rFonts w:hint="eastAsia" w:ascii="仿宋_GB2312" w:hAnsi="仿宋_GB2312" w:eastAsia="仿宋_GB2312" w:cs="仿宋_GB2312"/>
          <w:sz w:val="32"/>
          <w:szCs w:val="32"/>
          <w:highlight w:val="none"/>
          <w:lang w:val="en-US" w:eastAsia="zh-CN"/>
        </w:rPr>
        <w:t>建设</w:t>
      </w:r>
      <w:r>
        <w:rPr>
          <w:rFonts w:hint="default" w:ascii="仿宋_GB2312" w:hAnsi="仿宋_GB2312" w:eastAsia="仿宋_GB2312" w:cs="仿宋_GB2312"/>
          <w:sz w:val="32"/>
          <w:szCs w:val="32"/>
          <w:highlight w:val="none"/>
          <w:lang w:val="en-US" w:eastAsia="zh-CN"/>
        </w:rPr>
        <w:t>工程应当与地面</w:t>
      </w:r>
      <w:r>
        <w:rPr>
          <w:rFonts w:hint="eastAsia" w:ascii="仿宋_GB2312" w:hAnsi="仿宋_GB2312" w:eastAsia="仿宋_GB2312" w:cs="仿宋_GB2312"/>
          <w:sz w:val="32"/>
          <w:szCs w:val="32"/>
          <w:highlight w:val="none"/>
          <w:lang w:val="en-US" w:eastAsia="zh-CN"/>
        </w:rPr>
        <w:t>建设</w:t>
      </w:r>
      <w:r>
        <w:rPr>
          <w:rFonts w:hint="default" w:ascii="仿宋_GB2312" w:hAnsi="仿宋_GB2312" w:eastAsia="仿宋_GB2312" w:cs="仿宋_GB2312"/>
          <w:sz w:val="32"/>
          <w:szCs w:val="32"/>
          <w:highlight w:val="none"/>
          <w:lang w:val="en-US" w:eastAsia="zh-CN"/>
        </w:rPr>
        <w:t>工程一并进行</w:t>
      </w:r>
      <w:r>
        <w:rPr>
          <w:rFonts w:hint="eastAsia" w:ascii="仿宋_GB2312" w:hAnsi="仿宋_GB2312" w:eastAsia="仿宋_GB2312" w:cs="仿宋_GB2312"/>
          <w:sz w:val="32"/>
          <w:szCs w:val="32"/>
          <w:highlight w:val="none"/>
          <w:lang w:val="en-US" w:eastAsia="zh-CN"/>
        </w:rPr>
        <w:t>竣工</w:t>
      </w:r>
      <w:r>
        <w:rPr>
          <w:rFonts w:hint="default" w:ascii="仿宋_GB2312" w:hAnsi="仿宋_GB2312" w:eastAsia="仿宋_GB2312" w:cs="仿宋_GB2312"/>
          <w:sz w:val="32"/>
          <w:szCs w:val="32"/>
          <w:highlight w:val="none"/>
          <w:lang w:val="en-US" w:eastAsia="zh-CN"/>
        </w:rPr>
        <w:t>规划核实。</w:t>
      </w:r>
      <w:r>
        <w:rPr>
          <w:rFonts w:hint="default" w:ascii="仿宋_GB2312" w:hAnsi="仿宋_GB2312" w:eastAsia="仿宋_GB2312" w:cs="仿宋_GB2312"/>
          <w:sz w:val="32"/>
          <w:szCs w:val="40"/>
          <w:highlight w:val="none"/>
          <w:lang w:eastAsia="zh-CN"/>
        </w:rPr>
        <w:t>建设单位申报地下建设工程</w:t>
      </w:r>
      <w:r>
        <w:rPr>
          <w:rFonts w:hint="eastAsia" w:ascii="仿宋_GB2312" w:hAnsi="仿宋_GB2312" w:eastAsia="仿宋_GB2312" w:cs="仿宋_GB2312"/>
          <w:sz w:val="32"/>
          <w:szCs w:val="40"/>
          <w:highlight w:val="none"/>
          <w:lang w:eastAsia="zh-CN"/>
        </w:rPr>
        <w:t>竣工</w:t>
      </w:r>
      <w:r>
        <w:rPr>
          <w:rFonts w:hint="default" w:ascii="仿宋_GB2312" w:hAnsi="仿宋_GB2312" w:eastAsia="仿宋_GB2312" w:cs="仿宋_GB2312"/>
          <w:sz w:val="32"/>
          <w:szCs w:val="40"/>
          <w:highlight w:val="none"/>
          <w:lang w:eastAsia="zh-CN"/>
        </w:rPr>
        <w:t>规划</w:t>
      </w:r>
      <w:r>
        <w:rPr>
          <w:rFonts w:hint="eastAsia" w:ascii="仿宋_GB2312" w:hAnsi="仿宋_GB2312" w:eastAsia="仿宋_GB2312" w:cs="仿宋_GB2312"/>
          <w:sz w:val="32"/>
          <w:szCs w:val="40"/>
          <w:highlight w:val="none"/>
          <w:lang w:eastAsia="zh-CN"/>
        </w:rPr>
        <w:t>核实</w:t>
      </w:r>
      <w:r>
        <w:rPr>
          <w:rFonts w:hint="default" w:ascii="仿宋_GB2312" w:hAnsi="仿宋_GB2312" w:eastAsia="仿宋_GB2312" w:cs="仿宋_GB2312"/>
          <w:sz w:val="32"/>
          <w:szCs w:val="40"/>
          <w:highlight w:val="none"/>
          <w:lang w:eastAsia="zh-CN"/>
        </w:rPr>
        <w:t>时，应当列表申报各类用途的实测建筑面积</w:t>
      </w:r>
      <w:r>
        <w:rPr>
          <w:rFonts w:hint="eastAsia" w:ascii="仿宋_GB2312" w:hAnsi="仿宋_GB2312" w:eastAsia="仿宋_GB2312" w:cs="仿宋_GB2312"/>
          <w:sz w:val="32"/>
          <w:szCs w:val="40"/>
          <w:highlight w:val="none"/>
          <w:lang w:eastAsia="zh-CN"/>
        </w:rPr>
        <w:t>。</w:t>
      </w:r>
    </w:p>
    <w:p w14:paraId="65393FA5">
      <w:pPr>
        <w:keepNext w:val="0"/>
        <w:keepLines w:val="0"/>
        <w:pageBreakBefore w:val="0"/>
        <w:kinsoku/>
        <w:wordWrap/>
        <w:overflowPunct/>
        <w:topLinePunct w:val="0"/>
        <w:autoSpaceDE/>
        <w:autoSpaceDN/>
        <w:bidi w:val="0"/>
        <w:adjustRightInd/>
        <w:snapToGrid/>
        <w:spacing w:line="580" w:lineRule="exact"/>
        <w:ind w:firstLine="632" w:firstLineChars="200"/>
        <w:textAlignment w:val="baseline"/>
        <w:rPr>
          <w:rFonts w:hint="eastAsia" w:ascii="黑体" w:hAnsi="黑体" w:eastAsia="黑体" w:cs="黑体"/>
          <w:sz w:val="32"/>
          <w:szCs w:val="32"/>
          <w:highlight w:val="none"/>
          <w:lang w:val="en-US" w:eastAsia="zh-CN"/>
        </w:rPr>
      </w:pPr>
      <w:r>
        <w:rPr>
          <w:rFonts w:hint="eastAsia" w:ascii="黑体" w:hAnsi="黑体" w:eastAsia="黑体" w:cs="黑体"/>
          <w:sz w:val="32"/>
          <w:szCs w:val="32"/>
          <w:highlight w:val="none"/>
          <w:lang w:val="en-US" w:eastAsia="zh-CN"/>
        </w:rPr>
        <w:t>四、加强销售环节管理</w:t>
      </w:r>
    </w:p>
    <w:p w14:paraId="52F7D401">
      <w:pPr>
        <w:keepNext w:val="0"/>
        <w:keepLines w:val="0"/>
        <w:pageBreakBefore w:val="0"/>
        <w:kinsoku/>
        <w:wordWrap/>
        <w:overflowPunct/>
        <w:topLinePunct w:val="0"/>
        <w:autoSpaceDE/>
        <w:autoSpaceDN/>
        <w:bidi w:val="0"/>
        <w:adjustRightInd/>
        <w:snapToGrid/>
        <w:spacing w:line="580" w:lineRule="exact"/>
        <w:ind w:firstLine="632" w:firstLineChars="200"/>
        <w:textAlignment w:val="baseline"/>
        <w:rPr>
          <w:rFonts w:hint="default" w:ascii="楷体_GB2312" w:hAnsi="楷体_GB2312" w:eastAsia="楷体_GB2312" w:cs="楷体_GB2312"/>
          <w:sz w:val="32"/>
          <w:szCs w:val="32"/>
          <w:highlight w:val="none"/>
          <w:lang w:val="en-US" w:eastAsia="zh-CN"/>
        </w:rPr>
      </w:pPr>
      <w:r>
        <w:rPr>
          <w:rFonts w:hint="eastAsia" w:ascii="楷体_GB2312" w:hAnsi="楷体_GB2312" w:eastAsia="楷体_GB2312" w:cs="楷体_GB2312"/>
          <w:sz w:val="32"/>
          <w:szCs w:val="32"/>
          <w:highlight w:val="none"/>
          <w:lang w:val="en-US" w:eastAsia="zh-CN"/>
        </w:rPr>
        <w:t>（七）规范销售管理。</w:t>
      </w:r>
      <w:r>
        <w:rPr>
          <w:rFonts w:hint="eastAsia" w:ascii="仿宋_GB2312" w:hAnsi="仿宋_GB2312" w:eastAsia="仿宋_GB2312" w:cs="仿宋_GB2312"/>
          <w:sz w:val="32"/>
          <w:szCs w:val="32"/>
          <w:highlight w:val="none"/>
          <w:lang w:eastAsia="zh-CN"/>
        </w:rPr>
        <w:t>住建</w:t>
      </w:r>
      <w:r>
        <w:rPr>
          <w:rFonts w:hint="eastAsia" w:ascii="仿宋_GB2312" w:hAnsi="仿宋_GB2312" w:eastAsia="仿宋_GB2312" w:cs="仿宋_GB2312"/>
          <w:sz w:val="32"/>
          <w:szCs w:val="32"/>
          <w:highlight w:val="none"/>
        </w:rPr>
        <w:t>部门在商品房</w:t>
      </w:r>
      <w:r>
        <w:rPr>
          <w:rFonts w:hint="eastAsia" w:ascii="仿宋_GB2312" w:hAnsi="仿宋_GB2312" w:eastAsia="仿宋_GB2312" w:cs="仿宋_GB2312"/>
          <w:sz w:val="32"/>
          <w:szCs w:val="32"/>
          <w:highlight w:val="none"/>
          <w:lang w:eastAsia="zh-CN"/>
        </w:rPr>
        <w:t>预（</w:t>
      </w:r>
      <w:r>
        <w:rPr>
          <w:rFonts w:hint="eastAsia" w:ascii="仿宋_GB2312" w:hAnsi="仿宋_GB2312" w:eastAsia="仿宋_GB2312" w:cs="仿宋_GB2312"/>
          <w:sz w:val="32"/>
          <w:szCs w:val="32"/>
          <w:highlight w:val="none"/>
        </w:rPr>
        <w:t>销</w:t>
      </w:r>
      <w:r>
        <w:rPr>
          <w:rFonts w:hint="eastAsia" w:ascii="仿宋_GB2312" w:hAnsi="仿宋_GB2312" w:eastAsia="仿宋_GB2312" w:cs="仿宋_GB2312"/>
          <w:sz w:val="32"/>
          <w:szCs w:val="32"/>
          <w:highlight w:val="none"/>
          <w:lang w:eastAsia="zh-CN"/>
        </w:rPr>
        <w:t>）</w:t>
      </w:r>
      <w:r>
        <w:rPr>
          <w:rFonts w:hint="eastAsia" w:ascii="仿宋_GB2312" w:hAnsi="仿宋_GB2312" w:eastAsia="仿宋_GB2312" w:cs="仿宋_GB2312"/>
          <w:sz w:val="32"/>
          <w:szCs w:val="32"/>
          <w:highlight w:val="none"/>
        </w:rPr>
        <w:t>售合同中</w:t>
      </w:r>
      <w:r>
        <w:rPr>
          <w:rFonts w:hint="eastAsia" w:ascii="仿宋_GB2312" w:hAnsi="仿宋_GB2312" w:eastAsia="仿宋_GB2312" w:cs="仿宋_GB2312"/>
          <w:sz w:val="32"/>
          <w:szCs w:val="32"/>
          <w:highlight w:val="none"/>
          <w:lang w:eastAsia="zh-CN"/>
        </w:rPr>
        <w:t>应分类表述</w:t>
      </w:r>
      <w:r>
        <w:rPr>
          <w:rFonts w:hint="eastAsia" w:ascii="仿宋_GB2312" w:hAnsi="仿宋_GB2312" w:eastAsia="仿宋_GB2312" w:cs="仿宋_GB2312"/>
          <w:sz w:val="32"/>
          <w:szCs w:val="40"/>
          <w:highlight w:val="none"/>
          <w:lang w:val="en-US" w:eastAsia="zh-CN"/>
        </w:rPr>
        <w:t>地下空间利用相关信息</w:t>
      </w:r>
      <w:r>
        <w:rPr>
          <w:rFonts w:hint="eastAsia" w:ascii="仿宋_GB2312" w:hAnsi="仿宋_GB2312" w:eastAsia="仿宋_GB2312" w:cs="仿宋_GB2312"/>
          <w:sz w:val="32"/>
          <w:szCs w:val="32"/>
          <w:highlight w:val="none"/>
          <w:lang w:eastAsia="zh-CN"/>
        </w:rPr>
        <w:t>，特别要分别注明所售地上住宅和其他地下用房（储藏室等）等不同规划用途和相应建筑面积</w:t>
      </w:r>
      <w:r>
        <w:rPr>
          <w:rFonts w:hint="eastAsia" w:ascii="仿宋_GB2312" w:hAnsi="仿宋_GB2312" w:eastAsia="仿宋_GB2312" w:cs="仿宋_GB2312"/>
          <w:sz w:val="32"/>
          <w:szCs w:val="32"/>
          <w:highlight w:val="none"/>
          <w:lang w:val="en-US" w:eastAsia="zh-CN"/>
        </w:rPr>
        <w:t>以及增配的地下配套</w:t>
      </w:r>
      <w:r>
        <w:rPr>
          <w:rFonts w:hint="eastAsia" w:ascii="仿宋_GB2312" w:hAnsi="仿宋_GB2312" w:eastAsia="仿宋_GB2312" w:cs="仿宋_GB2312"/>
          <w:sz w:val="32"/>
          <w:szCs w:val="32"/>
          <w:highlight w:val="none"/>
        </w:rPr>
        <w:t>服务设施</w:t>
      </w:r>
      <w:r>
        <w:rPr>
          <w:rFonts w:hint="eastAsia" w:ascii="仿宋_GB2312" w:hAnsi="仿宋_GB2312" w:eastAsia="仿宋_GB2312" w:cs="仿宋_GB2312"/>
          <w:sz w:val="32"/>
          <w:szCs w:val="32"/>
          <w:highlight w:val="none"/>
          <w:lang w:eastAsia="zh-CN"/>
        </w:rPr>
        <w:t>（</w:t>
      </w:r>
      <w:r>
        <w:rPr>
          <w:rFonts w:hint="eastAsia" w:ascii="仿宋_GB2312" w:hAnsi="仿宋_GB2312" w:eastAsia="仿宋_GB2312" w:cs="仿宋_GB2312"/>
          <w:sz w:val="32"/>
          <w:szCs w:val="32"/>
          <w:highlight w:val="none"/>
          <w:lang w:val="en-US" w:eastAsia="zh-CN"/>
        </w:rPr>
        <w:t>家政便民、健康服务、体育健身、文化休闲等</w:t>
      </w:r>
      <w:r>
        <w:rPr>
          <w:rFonts w:hint="eastAsia" w:ascii="仿宋_GB2312" w:hAnsi="仿宋_GB2312" w:eastAsia="仿宋_GB2312" w:cs="仿宋_GB2312"/>
          <w:sz w:val="32"/>
          <w:szCs w:val="32"/>
          <w:highlight w:val="none"/>
          <w:lang w:eastAsia="zh-CN"/>
        </w:rPr>
        <w:t>）</w:t>
      </w:r>
      <w:r>
        <w:rPr>
          <w:rFonts w:hint="eastAsia" w:ascii="仿宋_GB2312" w:hAnsi="仿宋_GB2312" w:eastAsia="仿宋_GB2312" w:cs="仿宋_GB2312"/>
          <w:sz w:val="32"/>
          <w:szCs w:val="32"/>
          <w:highlight w:val="none"/>
          <w:lang w:val="en-US" w:eastAsia="zh-CN"/>
        </w:rPr>
        <w:t>产权归属。</w:t>
      </w:r>
    </w:p>
    <w:p w14:paraId="16E04591">
      <w:pPr>
        <w:keepNext w:val="0"/>
        <w:keepLines w:val="0"/>
        <w:pageBreakBefore w:val="0"/>
        <w:kinsoku/>
        <w:wordWrap/>
        <w:overflowPunct/>
        <w:topLinePunct w:val="0"/>
        <w:autoSpaceDE/>
        <w:autoSpaceDN/>
        <w:bidi w:val="0"/>
        <w:adjustRightInd/>
        <w:snapToGrid/>
        <w:spacing w:line="580" w:lineRule="exact"/>
        <w:ind w:firstLine="632" w:firstLineChars="200"/>
        <w:textAlignment w:val="baseline"/>
        <w:rPr>
          <w:rFonts w:hint="eastAsia" w:ascii="黑体" w:hAnsi="黑体" w:eastAsia="黑体" w:cs="黑体"/>
          <w:sz w:val="32"/>
          <w:szCs w:val="32"/>
          <w:highlight w:val="none"/>
          <w:lang w:val="en-US" w:eastAsia="zh-CN"/>
        </w:rPr>
      </w:pPr>
      <w:r>
        <w:rPr>
          <w:rFonts w:hint="eastAsia" w:ascii="黑体" w:hAnsi="黑体" w:eastAsia="黑体" w:cs="黑体"/>
          <w:sz w:val="32"/>
          <w:szCs w:val="32"/>
          <w:highlight w:val="none"/>
          <w:lang w:val="en-US" w:eastAsia="zh-CN"/>
        </w:rPr>
        <w:t>五、规范地下空间不动产登记</w:t>
      </w:r>
    </w:p>
    <w:p w14:paraId="0DCBF7CD">
      <w:pPr>
        <w:keepNext w:val="0"/>
        <w:keepLines w:val="0"/>
        <w:pageBreakBefore w:val="0"/>
        <w:widowControl/>
        <w:suppressLineNumbers w:val="0"/>
        <w:kinsoku/>
        <w:wordWrap/>
        <w:overflowPunct/>
        <w:topLinePunct w:val="0"/>
        <w:autoSpaceDE/>
        <w:autoSpaceDN/>
        <w:bidi w:val="0"/>
        <w:adjustRightInd/>
        <w:snapToGrid/>
        <w:spacing w:line="580" w:lineRule="exact"/>
        <w:ind w:firstLine="632" w:firstLineChars="200"/>
        <w:jc w:val="left"/>
        <w:rPr>
          <w:rFonts w:hint="default" w:ascii="仿宋_GB2312" w:hAnsi="仿宋_GB2312" w:eastAsia="仿宋_GB2312" w:cs="仿宋_GB2312"/>
          <w:sz w:val="32"/>
          <w:szCs w:val="32"/>
          <w:highlight w:val="none"/>
          <w:lang w:val="en-US" w:eastAsia="zh-CN"/>
        </w:rPr>
      </w:pPr>
      <w:r>
        <w:rPr>
          <w:rFonts w:hint="eastAsia" w:ascii="楷体_GB2312" w:hAnsi="楷体_GB2312" w:eastAsia="楷体_GB2312" w:cs="楷体_GB2312"/>
          <w:sz w:val="32"/>
          <w:szCs w:val="32"/>
          <w:highlight w:val="none"/>
          <w:lang w:val="en-US" w:eastAsia="zh-CN"/>
        </w:rPr>
        <w:t>（八）依法依规开展不动产首次登记。</w:t>
      </w:r>
      <w:r>
        <w:rPr>
          <w:rFonts w:hint="eastAsia" w:ascii="仿宋_GB2312" w:hAnsi="仿宋_GB2312" w:eastAsia="仿宋_GB2312" w:cs="仿宋_GB2312"/>
          <w:sz w:val="32"/>
          <w:szCs w:val="32"/>
          <w:highlight w:val="none"/>
          <w:lang w:val="en-US" w:eastAsia="zh-CN"/>
        </w:rPr>
        <w:t>地下空间不动产登记以不动产单元为基本单位，单元设定、规划用途依据相关部门许可和审批确定。国有建设用地使用权首次登记应在不动产权证附记栏记载地下空间国有建设用地使用权面积、用途等。依法利用地下空间国有建设用地使用权建设建（构）筑物，</w:t>
      </w:r>
      <w:r>
        <w:rPr>
          <w:rFonts w:hint="eastAsia" w:ascii="仿宋_GB2312" w:hAnsi="仿宋_GB2312" w:eastAsia="仿宋_GB2312" w:cs="仿宋_GB2312"/>
          <w:sz w:val="32"/>
          <w:szCs w:val="32"/>
          <w:highlight w:val="none"/>
          <w:lang w:eastAsia="zh-CN"/>
        </w:rPr>
        <w:t>规划明确增配的地下</w:t>
      </w:r>
      <w:r>
        <w:rPr>
          <w:rFonts w:hint="eastAsia" w:ascii="仿宋_GB2312" w:hAnsi="仿宋_GB2312" w:eastAsia="仿宋_GB2312" w:cs="仿宋_GB2312"/>
          <w:sz w:val="32"/>
          <w:szCs w:val="32"/>
          <w:highlight w:val="none"/>
          <w:lang w:val="en-US" w:eastAsia="zh-CN"/>
        </w:rPr>
        <w:t>配套服务</w:t>
      </w:r>
      <w:r>
        <w:rPr>
          <w:rFonts w:hint="eastAsia" w:ascii="仿宋_GB2312" w:hAnsi="仿宋_GB2312" w:eastAsia="仿宋_GB2312" w:cs="仿宋_GB2312"/>
          <w:sz w:val="32"/>
          <w:szCs w:val="32"/>
          <w:highlight w:val="none"/>
          <w:lang w:eastAsia="zh-CN"/>
        </w:rPr>
        <w:t>设施（</w:t>
      </w:r>
      <w:r>
        <w:rPr>
          <w:rFonts w:hint="eastAsia" w:ascii="仿宋_GB2312" w:hAnsi="仿宋_GB2312" w:eastAsia="仿宋_GB2312" w:cs="仿宋_GB2312"/>
          <w:sz w:val="32"/>
          <w:szCs w:val="32"/>
          <w:highlight w:val="none"/>
          <w:lang w:val="en-US" w:eastAsia="zh-CN"/>
        </w:rPr>
        <w:t>家政便民、健康服务、体育健身、文化休闲等</w:t>
      </w:r>
      <w:r>
        <w:rPr>
          <w:rFonts w:hint="eastAsia" w:ascii="仿宋_GB2312" w:hAnsi="仿宋_GB2312" w:eastAsia="仿宋_GB2312" w:cs="仿宋_GB2312"/>
          <w:sz w:val="32"/>
          <w:szCs w:val="32"/>
          <w:highlight w:val="none"/>
          <w:lang w:eastAsia="zh-CN"/>
        </w:rPr>
        <w:t>），</w:t>
      </w:r>
      <w:r>
        <w:rPr>
          <w:rFonts w:hint="eastAsia" w:ascii="仿宋_GB2312" w:hAnsi="仿宋_GB2312" w:eastAsia="仿宋_GB2312" w:cs="仿宋_GB2312"/>
          <w:sz w:val="32"/>
          <w:szCs w:val="32"/>
          <w:highlight w:val="none"/>
          <w:lang w:val="en-US" w:eastAsia="zh-CN"/>
        </w:rPr>
        <w:t>办理国有建设用地使用权及房屋所有权首次登记</w:t>
      </w:r>
      <w:r>
        <w:rPr>
          <w:rFonts w:hint="default" w:ascii="仿宋_GB2312" w:hAnsi="仿宋_GB2312" w:eastAsia="仿宋_GB2312" w:cs="仿宋_GB2312"/>
          <w:sz w:val="32"/>
          <w:szCs w:val="32"/>
          <w:highlight w:val="none"/>
          <w:lang w:eastAsia="zh-CN"/>
        </w:rPr>
        <w:t>时</w:t>
      </w:r>
      <w:r>
        <w:rPr>
          <w:rFonts w:hint="eastAsia" w:ascii="仿宋_GB2312" w:hAnsi="仿宋_GB2312" w:eastAsia="仿宋_GB2312" w:cs="仿宋_GB2312"/>
          <w:sz w:val="32"/>
          <w:szCs w:val="32"/>
          <w:highlight w:val="none"/>
          <w:lang w:val="en-US" w:eastAsia="zh-CN"/>
        </w:rPr>
        <w:t>在不动产权证书附记栏备注</w:t>
      </w:r>
      <w:r>
        <w:rPr>
          <w:rFonts w:hint="eastAsia" w:ascii="仿宋_GB2312" w:hAnsi="仿宋_GB2312" w:eastAsia="仿宋_GB2312" w:cs="仿宋_GB2312"/>
          <w:i w:val="0"/>
          <w:iCs w:val="0"/>
          <w:caps w:val="0"/>
          <w:color w:val="171A1D"/>
          <w:spacing w:val="0"/>
          <w:kern w:val="2"/>
          <w:sz w:val="32"/>
          <w:szCs w:val="32"/>
          <w:highlight w:val="none"/>
          <w:shd w:val="clear" w:color="auto" w:fill="auto"/>
          <w:lang w:val="en-US" w:eastAsia="zh-CN" w:bidi="ar"/>
        </w:rPr>
        <w:t>该部分建筑属于宗地内增配的</w:t>
      </w:r>
      <w:r>
        <w:rPr>
          <w:rFonts w:hint="eastAsia" w:ascii="仿宋_GB2312" w:hAnsi="仿宋_GB2312" w:eastAsia="仿宋_GB2312" w:cs="仿宋_GB2312"/>
          <w:i w:val="0"/>
          <w:iCs w:val="0"/>
          <w:caps w:val="0"/>
          <w:spacing w:val="0"/>
          <w:kern w:val="2"/>
          <w:sz w:val="32"/>
          <w:szCs w:val="32"/>
          <w:highlight w:val="none"/>
          <w:shd w:val="clear" w:color="auto" w:fill="auto"/>
          <w:lang w:val="en-US" w:eastAsia="zh-CN" w:bidi="ar"/>
        </w:rPr>
        <w:t>地下</w:t>
      </w:r>
      <w:r>
        <w:rPr>
          <w:rFonts w:hint="eastAsia" w:ascii="仿宋_GB2312" w:hAnsi="仿宋_GB2312" w:eastAsia="仿宋_GB2312" w:cs="仿宋_GB2312"/>
          <w:i w:val="0"/>
          <w:iCs w:val="0"/>
          <w:caps w:val="0"/>
          <w:color w:val="171A1D"/>
          <w:spacing w:val="0"/>
          <w:kern w:val="2"/>
          <w:sz w:val="32"/>
          <w:szCs w:val="32"/>
          <w:highlight w:val="none"/>
          <w:shd w:val="clear" w:color="auto" w:fill="auto"/>
          <w:lang w:val="en-US" w:eastAsia="zh-CN" w:bidi="ar"/>
        </w:rPr>
        <w:t>配套服务设施</w:t>
      </w:r>
      <w:r>
        <w:rPr>
          <w:rFonts w:hint="eastAsia" w:ascii="仿宋_GB2312" w:hAnsi="仿宋_GB2312" w:eastAsia="仿宋_GB2312" w:cs="仿宋_GB2312"/>
          <w:sz w:val="32"/>
          <w:szCs w:val="32"/>
          <w:highlight w:val="none"/>
          <w:lang w:val="en-US" w:eastAsia="zh-CN"/>
        </w:rPr>
        <w:t>。地下空间国有建设用地使用权面积原则上不进行分摊。确需分摊的，按地下空间建筑面积进行分摊。</w:t>
      </w:r>
      <w:r>
        <w:rPr>
          <w:rFonts w:hint="eastAsia" w:ascii="仿宋_GB2312" w:hAnsi="仿宋_GB2312" w:eastAsia="仿宋_GB2312" w:cs="仿宋_GB2312"/>
          <w:sz w:val="32"/>
          <w:szCs w:val="32"/>
          <w:highlight w:val="none"/>
          <w:lang w:eastAsia="zh-CN"/>
        </w:rPr>
        <w:t>鼓励有条件的地区探索实行三维地籍管理。</w:t>
      </w:r>
    </w:p>
    <w:p w14:paraId="59A312B6">
      <w:pPr>
        <w:keepNext w:val="0"/>
        <w:keepLines w:val="0"/>
        <w:pageBreakBefore w:val="0"/>
        <w:widowControl/>
        <w:suppressLineNumbers w:val="0"/>
        <w:kinsoku/>
        <w:wordWrap/>
        <w:overflowPunct/>
        <w:topLinePunct w:val="0"/>
        <w:autoSpaceDE/>
        <w:autoSpaceDN/>
        <w:bidi w:val="0"/>
        <w:adjustRightInd/>
        <w:snapToGrid/>
        <w:spacing w:line="580" w:lineRule="exact"/>
        <w:ind w:firstLine="632" w:firstLineChars="200"/>
        <w:jc w:val="both"/>
        <w:rPr>
          <w:rFonts w:hint="default" w:ascii="仿宋_GB2312" w:hAnsi="仿宋_GB2312" w:eastAsia="仿宋_GB2312" w:cs="仿宋_GB2312"/>
          <w:sz w:val="32"/>
          <w:szCs w:val="32"/>
          <w:highlight w:val="none"/>
          <w:lang w:val="en-US" w:eastAsia="zh-CN"/>
        </w:rPr>
      </w:pPr>
      <w:r>
        <w:rPr>
          <w:rFonts w:hint="eastAsia" w:ascii="楷体_GB2312" w:hAnsi="楷体_GB2312" w:eastAsia="楷体_GB2312" w:cs="楷体_GB2312"/>
          <w:sz w:val="32"/>
          <w:szCs w:val="32"/>
          <w:highlight w:val="none"/>
          <w:lang w:val="en-US" w:eastAsia="zh-CN"/>
        </w:rPr>
        <w:t>（九）规范地下住宅附属用房不动产登记。</w:t>
      </w:r>
      <w:r>
        <w:rPr>
          <w:rFonts w:hint="default" w:ascii="仿宋_GB2312" w:hAnsi="仿宋_GB2312" w:eastAsia="仿宋_GB2312" w:cs="仿宋_GB2312"/>
          <w:sz w:val="32"/>
          <w:szCs w:val="32"/>
          <w:highlight w:val="none"/>
        </w:rPr>
        <w:t>城镇住宅用地</w:t>
      </w:r>
      <w:r>
        <w:rPr>
          <w:rFonts w:hint="eastAsia" w:ascii="仿宋_GB2312" w:hAnsi="仿宋_GB2312" w:eastAsia="仿宋_GB2312" w:cs="仿宋_GB2312"/>
          <w:sz w:val="32"/>
          <w:szCs w:val="32"/>
          <w:highlight w:val="none"/>
          <w:lang w:val="en-US" w:eastAsia="zh-CN"/>
        </w:rPr>
        <w:t>用于储藏室等</w:t>
      </w:r>
      <w:r>
        <w:rPr>
          <w:rFonts w:hint="eastAsia" w:ascii="仿宋_GB2312" w:hAnsi="仿宋_GB2312" w:eastAsia="仿宋_GB2312" w:cs="仿宋_GB2312"/>
          <w:sz w:val="32"/>
          <w:szCs w:val="32"/>
          <w:highlight w:val="none"/>
          <w:lang w:eastAsia="zh-CN"/>
        </w:rPr>
        <w:t>非</w:t>
      </w:r>
      <w:r>
        <w:rPr>
          <w:rFonts w:hint="eastAsia" w:ascii="仿宋_GB2312" w:hAnsi="仿宋_GB2312" w:eastAsia="仿宋_GB2312" w:cs="仿宋_GB2312"/>
          <w:sz w:val="32"/>
          <w:szCs w:val="32"/>
          <w:highlight w:val="none"/>
          <w:lang w:val="en-US" w:eastAsia="zh-CN"/>
        </w:rPr>
        <w:t>住宅</w:t>
      </w:r>
      <w:r>
        <w:rPr>
          <w:rFonts w:hint="eastAsia" w:ascii="仿宋_GB2312" w:hAnsi="仿宋_GB2312" w:eastAsia="仿宋_GB2312" w:cs="仿宋_GB2312"/>
          <w:sz w:val="32"/>
          <w:szCs w:val="32"/>
          <w:highlight w:val="none"/>
          <w:lang w:eastAsia="zh-CN"/>
        </w:rPr>
        <w:t>居住功能</w:t>
      </w:r>
      <w:r>
        <w:rPr>
          <w:rFonts w:hint="eastAsia" w:ascii="仿宋_GB2312" w:hAnsi="仿宋_GB2312" w:eastAsia="仿宋_GB2312" w:cs="仿宋_GB2312"/>
          <w:sz w:val="32"/>
          <w:szCs w:val="32"/>
          <w:highlight w:val="none"/>
          <w:lang w:val="en-US" w:eastAsia="zh-CN"/>
        </w:rPr>
        <w:t>空间等用房</w:t>
      </w:r>
      <w:r>
        <w:rPr>
          <w:rFonts w:hint="default" w:ascii="仿宋_GB2312" w:hAnsi="仿宋_GB2312" w:eastAsia="仿宋_GB2312" w:cs="仿宋_GB2312"/>
          <w:sz w:val="32"/>
          <w:szCs w:val="32"/>
          <w:highlight w:val="none"/>
        </w:rPr>
        <w:t>，与地上住宅套内</w:t>
      </w:r>
      <w:r>
        <w:rPr>
          <w:rFonts w:hint="eastAsia" w:ascii="仿宋_GB2312" w:hAnsi="仿宋_GB2312" w:eastAsia="仿宋_GB2312" w:cs="仿宋_GB2312"/>
          <w:sz w:val="32"/>
          <w:szCs w:val="32"/>
          <w:highlight w:val="none"/>
          <w:lang w:val="en-US" w:eastAsia="zh-CN"/>
        </w:rPr>
        <w:t>直接连</w:t>
      </w:r>
      <w:r>
        <w:rPr>
          <w:rFonts w:hint="default" w:ascii="仿宋_GB2312" w:hAnsi="仿宋_GB2312" w:eastAsia="仿宋_GB2312" w:cs="仿宋_GB2312"/>
          <w:sz w:val="32"/>
          <w:szCs w:val="32"/>
          <w:highlight w:val="none"/>
        </w:rPr>
        <w:t>通的，不动产首次登记按照一个不动产单元进行登记，建筑面积为地上住宅和</w:t>
      </w:r>
      <w:r>
        <w:rPr>
          <w:rFonts w:hint="eastAsia" w:ascii="仿宋_GB2312" w:hAnsi="仿宋_GB2312" w:eastAsia="仿宋_GB2312" w:cs="仿宋_GB2312"/>
          <w:sz w:val="32"/>
          <w:szCs w:val="32"/>
          <w:highlight w:val="none"/>
          <w:lang w:eastAsia="zh-CN"/>
        </w:rPr>
        <w:t>其他</w:t>
      </w:r>
      <w:r>
        <w:rPr>
          <w:rFonts w:hint="default" w:ascii="仿宋_GB2312" w:hAnsi="仿宋_GB2312" w:eastAsia="仿宋_GB2312" w:cs="仿宋_GB2312"/>
          <w:sz w:val="32"/>
          <w:szCs w:val="32"/>
          <w:highlight w:val="none"/>
        </w:rPr>
        <w:t>地下用房（储藏室等）建筑面积之和，在不动产权证附记栏分别记载</w:t>
      </w:r>
      <w:r>
        <w:rPr>
          <w:rFonts w:hint="eastAsia" w:ascii="仿宋_GB2312" w:hAnsi="仿宋_GB2312" w:eastAsia="仿宋_GB2312" w:cs="仿宋_GB2312"/>
          <w:sz w:val="32"/>
          <w:szCs w:val="32"/>
          <w:highlight w:val="none"/>
          <w:lang w:eastAsia="zh-CN"/>
        </w:rPr>
        <w:t>“</w:t>
      </w:r>
      <w:r>
        <w:rPr>
          <w:rFonts w:hint="default" w:ascii="仿宋_GB2312" w:hAnsi="仿宋_GB2312" w:eastAsia="仿宋_GB2312" w:cs="仿宋_GB2312"/>
          <w:sz w:val="32"/>
          <w:szCs w:val="32"/>
          <w:highlight w:val="none"/>
        </w:rPr>
        <w:t>其中：地上住宅和</w:t>
      </w:r>
      <w:r>
        <w:rPr>
          <w:rFonts w:hint="eastAsia" w:ascii="仿宋_GB2312" w:hAnsi="仿宋_GB2312" w:eastAsia="仿宋_GB2312" w:cs="仿宋_GB2312"/>
          <w:sz w:val="32"/>
          <w:szCs w:val="32"/>
          <w:highlight w:val="none"/>
          <w:lang w:eastAsia="zh-CN"/>
        </w:rPr>
        <w:t>其他</w:t>
      </w:r>
      <w:r>
        <w:rPr>
          <w:rFonts w:hint="default" w:ascii="仿宋_GB2312" w:hAnsi="仿宋_GB2312" w:eastAsia="仿宋_GB2312" w:cs="仿宋_GB2312"/>
          <w:sz w:val="32"/>
          <w:szCs w:val="32"/>
          <w:highlight w:val="none"/>
        </w:rPr>
        <w:t>地下用房（储藏室等）的房号、规划用途和建筑面积等</w:t>
      </w:r>
      <w:r>
        <w:rPr>
          <w:rFonts w:hint="eastAsia" w:ascii="仿宋_GB2312" w:hAnsi="仿宋_GB2312" w:eastAsia="仿宋_GB2312" w:cs="仿宋_GB2312"/>
          <w:sz w:val="32"/>
          <w:szCs w:val="32"/>
          <w:highlight w:val="none"/>
          <w:lang w:eastAsia="zh-CN"/>
        </w:rPr>
        <w:t>”；</w:t>
      </w:r>
      <w:r>
        <w:rPr>
          <w:rFonts w:hint="default" w:ascii="仿宋_GB2312" w:hAnsi="仿宋_GB2312" w:eastAsia="仿宋_GB2312" w:cs="仿宋_GB2312"/>
          <w:sz w:val="32"/>
          <w:szCs w:val="32"/>
          <w:highlight w:val="none"/>
          <w:lang w:eastAsia="zh-CN"/>
        </w:rPr>
        <w:t>与地上住宅套内不相通的，不动产首次登记以地上住宅为一个不动产单元进行登记，建筑面积为</w:t>
      </w:r>
      <w:r>
        <w:rPr>
          <w:rFonts w:hint="default" w:ascii="仿宋_GB2312" w:hAnsi="仿宋_GB2312" w:eastAsia="仿宋_GB2312" w:cs="仿宋_GB2312"/>
          <w:sz w:val="32"/>
          <w:szCs w:val="32"/>
          <w:highlight w:val="none"/>
        </w:rPr>
        <w:t>地上住宅</w:t>
      </w:r>
      <w:r>
        <w:rPr>
          <w:rFonts w:hint="eastAsia" w:ascii="仿宋_GB2312" w:hAnsi="仿宋_GB2312" w:eastAsia="仿宋_GB2312" w:cs="仿宋_GB2312"/>
          <w:sz w:val="32"/>
          <w:szCs w:val="32"/>
          <w:highlight w:val="none"/>
          <w:lang w:eastAsia="zh-CN"/>
        </w:rPr>
        <w:t>建筑面积，</w:t>
      </w:r>
      <w:r>
        <w:rPr>
          <w:rFonts w:hint="default" w:ascii="仿宋_GB2312" w:hAnsi="仿宋_GB2312" w:eastAsia="仿宋_GB2312" w:cs="仿宋_GB2312"/>
          <w:sz w:val="32"/>
          <w:szCs w:val="32"/>
          <w:highlight w:val="none"/>
        </w:rPr>
        <w:t>在不动产权证附记栏</w:t>
      </w:r>
      <w:r>
        <w:rPr>
          <w:rFonts w:hint="eastAsia" w:ascii="仿宋_GB2312" w:hAnsi="仿宋_GB2312" w:eastAsia="仿宋_GB2312" w:cs="仿宋_GB2312"/>
          <w:sz w:val="32"/>
          <w:szCs w:val="32"/>
          <w:highlight w:val="none"/>
          <w:lang w:eastAsia="zh-CN"/>
        </w:rPr>
        <w:t>记载</w:t>
      </w:r>
      <w:r>
        <w:rPr>
          <w:rFonts w:hint="default" w:ascii="仿宋_GB2312" w:hAnsi="仿宋_GB2312" w:eastAsia="仿宋_GB2312" w:cs="仿宋_GB2312"/>
          <w:sz w:val="32"/>
          <w:szCs w:val="32"/>
          <w:highlight w:val="none"/>
        </w:rPr>
        <w:t>“</w:t>
      </w:r>
      <w:r>
        <w:rPr>
          <w:rFonts w:hint="default" w:ascii="仿宋_GB2312" w:hAnsi="仿宋_GB2312" w:eastAsia="仿宋_GB2312" w:cs="仿宋_GB2312"/>
          <w:sz w:val="32"/>
          <w:szCs w:val="32"/>
          <w:highlight w:val="none"/>
          <w:lang w:eastAsia="zh-CN"/>
        </w:rPr>
        <w:t>另有：</w:t>
      </w:r>
      <w:r>
        <w:rPr>
          <w:rFonts w:hint="eastAsia" w:ascii="仿宋_GB2312" w:hAnsi="仿宋_GB2312" w:eastAsia="仿宋_GB2312" w:cs="仿宋_GB2312"/>
          <w:sz w:val="32"/>
          <w:szCs w:val="32"/>
          <w:highlight w:val="none"/>
          <w:lang w:eastAsia="zh-CN"/>
        </w:rPr>
        <w:t>其他</w:t>
      </w:r>
      <w:r>
        <w:rPr>
          <w:rFonts w:hint="default" w:ascii="仿宋_GB2312" w:hAnsi="仿宋_GB2312" w:eastAsia="仿宋_GB2312" w:cs="仿宋_GB2312"/>
          <w:sz w:val="32"/>
          <w:szCs w:val="32"/>
          <w:highlight w:val="none"/>
        </w:rPr>
        <w:t>地下</w:t>
      </w:r>
      <w:r>
        <w:rPr>
          <w:rFonts w:hint="default" w:ascii="仿宋_GB2312" w:hAnsi="仿宋_GB2312" w:eastAsia="仿宋_GB2312" w:cs="仿宋_GB2312"/>
          <w:sz w:val="32"/>
          <w:szCs w:val="32"/>
          <w:highlight w:val="none"/>
          <w:lang w:eastAsia="zh-CN"/>
        </w:rPr>
        <w:t>用房</w:t>
      </w:r>
      <w:r>
        <w:rPr>
          <w:rFonts w:hint="eastAsia" w:ascii="仿宋_GB2312" w:hAnsi="仿宋_GB2312" w:eastAsia="仿宋_GB2312" w:cs="仿宋_GB2312"/>
          <w:sz w:val="32"/>
          <w:szCs w:val="32"/>
          <w:highlight w:val="none"/>
          <w:lang w:eastAsia="zh-CN"/>
        </w:rPr>
        <w:t>（储藏室等）</w:t>
      </w:r>
      <w:r>
        <w:rPr>
          <w:rFonts w:hint="default" w:ascii="仿宋_GB2312" w:hAnsi="仿宋_GB2312" w:eastAsia="仿宋_GB2312" w:cs="仿宋_GB2312"/>
          <w:sz w:val="32"/>
          <w:szCs w:val="32"/>
          <w:highlight w:val="none"/>
          <w:lang w:eastAsia="zh-CN"/>
        </w:rPr>
        <w:t>的</w:t>
      </w:r>
      <w:r>
        <w:rPr>
          <w:rFonts w:hint="default" w:ascii="仿宋_GB2312" w:hAnsi="仿宋_GB2312" w:eastAsia="仿宋_GB2312" w:cs="仿宋_GB2312"/>
          <w:sz w:val="32"/>
          <w:szCs w:val="32"/>
          <w:highlight w:val="none"/>
        </w:rPr>
        <w:t>房号</w:t>
      </w:r>
      <w:r>
        <w:rPr>
          <w:rFonts w:hint="default" w:ascii="仿宋_GB2312" w:hAnsi="仿宋_GB2312" w:eastAsia="仿宋_GB2312" w:cs="仿宋_GB2312"/>
          <w:sz w:val="32"/>
          <w:szCs w:val="32"/>
          <w:highlight w:val="none"/>
          <w:lang w:eastAsia="zh-CN"/>
        </w:rPr>
        <w:t>、</w:t>
      </w:r>
      <w:r>
        <w:rPr>
          <w:rFonts w:hint="eastAsia" w:ascii="仿宋_GB2312" w:hAnsi="仿宋_GB2312" w:eastAsia="仿宋_GB2312" w:cs="仿宋_GB2312"/>
          <w:sz w:val="32"/>
          <w:szCs w:val="32"/>
          <w:highlight w:val="none"/>
          <w:lang w:eastAsia="zh-CN"/>
        </w:rPr>
        <w:t>规划</w:t>
      </w:r>
      <w:r>
        <w:rPr>
          <w:rFonts w:hint="default" w:ascii="仿宋_GB2312" w:hAnsi="仿宋_GB2312" w:eastAsia="仿宋_GB2312" w:cs="仿宋_GB2312"/>
          <w:sz w:val="32"/>
          <w:szCs w:val="32"/>
          <w:highlight w:val="none"/>
          <w:lang w:eastAsia="zh-CN"/>
        </w:rPr>
        <w:t>用途和</w:t>
      </w:r>
      <w:r>
        <w:rPr>
          <w:rFonts w:hint="default" w:ascii="仿宋_GB2312" w:hAnsi="仿宋_GB2312" w:eastAsia="仿宋_GB2312" w:cs="仿宋_GB2312"/>
          <w:sz w:val="32"/>
          <w:szCs w:val="32"/>
          <w:highlight w:val="none"/>
        </w:rPr>
        <w:t>建筑面积</w:t>
      </w:r>
      <w:r>
        <w:rPr>
          <w:rFonts w:hint="default" w:ascii="仿宋_GB2312" w:hAnsi="仿宋_GB2312" w:eastAsia="仿宋_GB2312" w:cs="仿宋_GB2312"/>
          <w:sz w:val="32"/>
          <w:szCs w:val="32"/>
          <w:highlight w:val="none"/>
          <w:lang w:eastAsia="zh-CN"/>
        </w:rPr>
        <w:t>等</w:t>
      </w:r>
      <w:r>
        <w:rPr>
          <w:rFonts w:hint="default" w:ascii="仿宋_GB2312" w:hAnsi="仿宋_GB2312" w:eastAsia="仿宋_GB2312" w:cs="仿宋_GB2312"/>
          <w:sz w:val="32"/>
          <w:szCs w:val="32"/>
          <w:highlight w:val="none"/>
        </w:rPr>
        <w:t>”</w:t>
      </w:r>
      <w:r>
        <w:rPr>
          <w:rFonts w:hint="eastAsia" w:ascii="仿宋_GB2312" w:hAnsi="仿宋_GB2312" w:eastAsia="仿宋_GB2312" w:cs="仿宋_GB2312"/>
          <w:sz w:val="32"/>
          <w:szCs w:val="32"/>
          <w:highlight w:val="none"/>
          <w:lang w:eastAsia="zh-CN"/>
        </w:rPr>
        <w:t>。</w:t>
      </w:r>
    </w:p>
    <w:p w14:paraId="6EDD1389">
      <w:pPr>
        <w:keepNext w:val="0"/>
        <w:keepLines w:val="0"/>
        <w:pageBreakBefore w:val="0"/>
        <w:kinsoku/>
        <w:wordWrap/>
        <w:overflowPunct/>
        <w:topLinePunct w:val="0"/>
        <w:autoSpaceDE/>
        <w:autoSpaceDN/>
        <w:bidi w:val="0"/>
        <w:adjustRightInd/>
        <w:snapToGrid/>
        <w:spacing w:line="580" w:lineRule="exact"/>
        <w:ind w:firstLine="632" w:firstLineChars="200"/>
        <w:textAlignment w:val="baseline"/>
        <w:rPr>
          <w:rFonts w:hint="eastAsia" w:ascii="黑体" w:hAnsi="黑体" w:eastAsia="黑体" w:cs="黑体"/>
          <w:sz w:val="32"/>
          <w:szCs w:val="32"/>
          <w:highlight w:val="none"/>
          <w:lang w:eastAsia="zh-CN"/>
        </w:rPr>
      </w:pPr>
      <w:r>
        <w:rPr>
          <w:rFonts w:hint="eastAsia" w:ascii="黑体" w:hAnsi="黑体" w:eastAsia="黑体" w:cs="黑体"/>
          <w:sz w:val="32"/>
          <w:szCs w:val="32"/>
          <w:highlight w:val="none"/>
          <w:lang w:val="en-US" w:eastAsia="zh-CN"/>
        </w:rPr>
        <w:t>六、</w:t>
      </w:r>
      <w:r>
        <w:rPr>
          <w:rFonts w:hint="eastAsia" w:ascii="黑体" w:hAnsi="黑体" w:eastAsia="黑体" w:cs="黑体"/>
          <w:sz w:val="32"/>
          <w:szCs w:val="32"/>
          <w:highlight w:val="none"/>
          <w:lang w:eastAsia="zh-CN"/>
        </w:rPr>
        <w:t>其他要求</w:t>
      </w:r>
    </w:p>
    <w:p w14:paraId="1F4522AD">
      <w:pPr>
        <w:keepNext w:val="0"/>
        <w:keepLines w:val="0"/>
        <w:widowControl/>
        <w:suppressLineNumbers w:val="0"/>
        <w:ind w:firstLine="632" w:firstLineChars="200"/>
        <w:jc w:val="left"/>
        <w:rPr>
          <w:rFonts w:hint="eastAsia" w:ascii="仿宋_GB2312" w:hAnsi="仿宋_GB2312" w:eastAsia="仿宋_GB2312" w:cs="仿宋_GB2312"/>
          <w:sz w:val="32"/>
          <w:szCs w:val="32"/>
          <w:highlight w:val="none"/>
          <w:lang w:eastAsia="zh-CN"/>
        </w:rPr>
      </w:pPr>
      <w:r>
        <w:rPr>
          <w:rFonts w:hint="eastAsia" w:ascii="仿宋_GB2312" w:hAnsi="仿宋_GB2312" w:eastAsia="仿宋_GB2312" w:cs="仿宋_GB2312"/>
          <w:sz w:val="32"/>
          <w:szCs w:val="32"/>
          <w:highlight w:val="none"/>
        </w:rPr>
        <w:t>本通</w:t>
      </w:r>
      <w:r>
        <w:rPr>
          <w:rFonts w:hint="eastAsia" w:ascii="仿宋_GB2312" w:hAnsi="仿宋_GB2312" w:eastAsia="仿宋_GB2312" w:cs="仿宋_GB2312"/>
          <w:sz w:val="32"/>
          <w:szCs w:val="32"/>
          <w:highlight w:val="none"/>
          <w:lang w:val="en-US" w:eastAsia="zh-CN"/>
        </w:rPr>
        <w:t>知所称</w:t>
      </w:r>
      <w:r>
        <w:rPr>
          <w:rFonts w:hint="eastAsia" w:ascii="仿宋_GB2312" w:hAnsi="仿宋_GB2312" w:eastAsia="仿宋_GB2312" w:cs="仿宋_GB2312"/>
          <w:b/>
          <w:bCs/>
          <w:sz w:val="32"/>
          <w:szCs w:val="32"/>
          <w:highlight w:val="none"/>
          <w:lang w:val="en-US" w:eastAsia="zh-CN"/>
        </w:rPr>
        <w:t>城镇住宅用地</w:t>
      </w:r>
      <w:r>
        <w:rPr>
          <w:rFonts w:hint="eastAsia" w:ascii="仿宋_GB2312" w:hAnsi="仿宋_GB2312" w:eastAsia="仿宋_GB2312" w:cs="仿宋_GB2312"/>
          <w:sz w:val="32"/>
          <w:szCs w:val="32"/>
          <w:highlight w:val="none"/>
          <w:lang w:val="en-US" w:eastAsia="zh-CN"/>
        </w:rPr>
        <w:t>包括单一住宅用地和其他包括住宅功能的混合用地，</w:t>
      </w:r>
      <w:r>
        <w:rPr>
          <w:rFonts w:hint="eastAsia" w:ascii="仿宋_GB2312" w:hAnsi="仿宋_GB2312" w:eastAsia="仿宋_GB2312" w:cs="仿宋_GB2312"/>
          <w:b/>
          <w:bCs/>
          <w:sz w:val="32"/>
          <w:szCs w:val="32"/>
          <w:highlight w:val="none"/>
          <w:lang w:eastAsia="zh-CN"/>
        </w:rPr>
        <w:t>非</w:t>
      </w:r>
      <w:r>
        <w:rPr>
          <w:rFonts w:hint="eastAsia" w:ascii="仿宋_GB2312" w:hAnsi="仿宋_GB2312" w:eastAsia="仿宋_GB2312" w:cs="仿宋_GB2312"/>
          <w:b/>
          <w:bCs/>
          <w:sz w:val="32"/>
          <w:szCs w:val="32"/>
          <w:highlight w:val="none"/>
          <w:lang w:val="en-US" w:eastAsia="zh-CN"/>
        </w:rPr>
        <w:t>住宅</w:t>
      </w:r>
      <w:r>
        <w:rPr>
          <w:rFonts w:hint="eastAsia" w:ascii="仿宋_GB2312" w:hAnsi="仿宋_GB2312" w:eastAsia="仿宋_GB2312" w:cs="仿宋_GB2312"/>
          <w:b/>
          <w:bCs/>
          <w:sz w:val="32"/>
          <w:szCs w:val="32"/>
          <w:highlight w:val="none"/>
          <w:lang w:eastAsia="zh-CN"/>
        </w:rPr>
        <w:t>居住功能空间</w:t>
      </w:r>
      <w:r>
        <w:rPr>
          <w:rFonts w:hint="eastAsia" w:ascii="仿宋_GB2312" w:hAnsi="仿宋_GB2312" w:eastAsia="仿宋_GB2312" w:cs="仿宋_GB2312"/>
          <w:sz w:val="32"/>
          <w:szCs w:val="32"/>
          <w:highlight w:val="none"/>
          <w:lang w:eastAsia="zh-CN"/>
        </w:rPr>
        <w:t>是</w:t>
      </w:r>
      <w:r>
        <w:rPr>
          <w:rFonts w:hint="eastAsia" w:ascii="仿宋_GB2312" w:hAnsi="仿宋_GB2312" w:eastAsia="仿宋_GB2312" w:cs="仿宋_GB2312"/>
          <w:sz w:val="32"/>
          <w:szCs w:val="32"/>
          <w:highlight w:val="none"/>
          <w:lang w:val="en-US" w:eastAsia="zh-CN"/>
        </w:rPr>
        <w:t>指住宅中除卧室、起居室（厅）、餐厅、厨房的其他空间，增配的配套服务设施是指根据国土空间规划要求，应在宗地内必须配建的各类公建设施以外增加的服务设施。</w:t>
      </w:r>
    </w:p>
    <w:p w14:paraId="203C238C">
      <w:pPr>
        <w:keepNext w:val="0"/>
        <w:keepLines w:val="0"/>
        <w:pageBreakBefore w:val="0"/>
        <w:widowControl/>
        <w:suppressLineNumbers w:val="0"/>
        <w:kinsoku/>
        <w:wordWrap/>
        <w:overflowPunct/>
        <w:topLinePunct w:val="0"/>
        <w:autoSpaceDE/>
        <w:autoSpaceDN/>
        <w:bidi w:val="0"/>
        <w:adjustRightInd/>
        <w:snapToGrid/>
        <w:spacing w:line="580" w:lineRule="exact"/>
        <w:ind w:firstLine="632" w:firstLineChars="200"/>
        <w:jc w:val="both"/>
        <w:rPr>
          <w:rFonts w:hint="eastAsia" w:ascii="仿宋_GB2312" w:eastAsia="仿宋_GB2312"/>
          <w:sz w:val="32"/>
          <w:szCs w:val="32"/>
          <w:highlight w:val="none"/>
        </w:rPr>
      </w:pPr>
      <w:r>
        <w:rPr>
          <w:rFonts w:hint="eastAsia" w:ascii="仿宋_GB2312" w:hAnsi="仿宋_GB2312" w:eastAsia="仿宋_GB2312" w:cs="仿宋_GB2312"/>
          <w:sz w:val="32"/>
          <w:szCs w:val="32"/>
          <w:highlight w:val="none"/>
          <w:lang w:val="en-US" w:eastAsia="zh-CN"/>
        </w:rPr>
        <w:t>本通知自印发之日起实施，适用于本市行政区域内新取得相应城镇住宅用地的结建地下工程。</w:t>
      </w:r>
      <w:r>
        <w:rPr>
          <w:rFonts w:hint="eastAsia" w:ascii="仿宋_GB2312" w:eastAsia="仿宋_GB2312"/>
          <w:sz w:val="32"/>
          <w:szCs w:val="32"/>
          <w:highlight w:val="none"/>
        </w:rPr>
        <w:t>新取得土地的出让项目以土地出让公告时间为准，划拨项目以取得土地划拨决定书时间为准。</w:t>
      </w:r>
      <w:r>
        <w:rPr>
          <w:rFonts w:hint="eastAsia" w:ascii="仿宋_GB2312" w:hAnsi="仿宋_GB2312" w:eastAsia="仿宋_GB2312" w:cs="仿宋_GB2312"/>
          <w:sz w:val="32"/>
          <w:szCs w:val="32"/>
          <w:highlight w:val="none"/>
          <w:lang w:val="en-US" w:eastAsia="zh-CN"/>
        </w:rPr>
        <w:t>根据国土空间规划要求，应在宗地内必须配建的各类公建设施，不适用本通知，</w:t>
      </w:r>
      <w:r>
        <w:rPr>
          <w:rFonts w:hint="eastAsia" w:ascii="仿宋_GB2312" w:eastAsia="仿宋_GB2312"/>
          <w:sz w:val="32"/>
          <w:szCs w:val="32"/>
          <w:highlight w:val="none"/>
        </w:rPr>
        <w:t>此前有关政策与本通知不一致的，以本通知为准。</w:t>
      </w:r>
    </w:p>
    <w:p w14:paraId="3D763BE2">
      <w:pPr>
        <w:keepNext w:val="0"/>
        <w:keepLines w:val="0"/>
        <w:pageBreakBefore w:val="0"/>
        <w:widowControl/>
        <w:suppressLineNumbers w:val="0"/>
        <w:kinsoku/>
        <w:wordWrap/>
        <w:overflowPunct/>
        <w:topLinePunct w:val="0"/>
        <w:autoSpaceDE/>
        <w:autoSpaceDN/>
        <w:bidi w:val="0"/>
        <w:adjustRightInd/>
        <w:snapToGrid/>
        <w:spacing w:line="580" w:lineRule="exact"/>
        <w:ind w:firstLine="632" w:firstLineChars="200"/>
        <w:jc w:val="both"/>
        <w:rPr>
          <w:rFonts w:hint="eastAsia" w:ascii="仿宋_GB2312" w:eastAsia="仿宋_GB2312"/>
          <w:sz w:val="32"/>
          <w:szCs w:val="32"/>
          <w:highlight w:val="none"/>
        </w:rPr>
      </w:pPr>
    </w:p>
    <w:p w14:paraId="69092BDB">
      <w:pPr>
        <w:keepNext w:val="0"/>
        <w:keepLines w:val="0"/>
        <w:pageBreakBefore w:val="0"/>
        <w:kinsoku/>
        <w:wordWrap/>
        <w:overflowPunct/>
        <w:topLinePunct w:val="0"/>
        <w:autoSpaceDE/>
        <w:autoSpaceDN/>
        <w:bidi w:val="0"/>
        <w:adjustRightInd/>
        <w:snapToGrid/>
        <w:spacing w:line="580" w:lineRule="exact"/>
        <w:ind w:firstLine="316" w:firstLineChars="100"/>
        <w:jc w:val="both"/>
        <w:textAlignment w:val="baseline"/>
        <w:rPr>
          <w:rFonts w:hint="eastAsia" w:ascii="仿宋_GB2312" w:hAnsi="仿宋_GB2312" w:eastAsia="仿宋_GB2312" w:cs="仿宋_GB2312"/>
          <w:sz w:val="32"/>
          <w:szCs w:val="32"/>
          <w:highlight w:val="none"/>
          <w:lang w:eastAsia="zh-CN"/>
        </w:rPr>
      </w:pPr>
      <w:r>
        <w:rPr>
          <w:rFonts w:hint="eastAsia" w:ascii="仿宋_GB2312" w:hAnsi="仿宋_GB2312" w:eastAsia="仿宋_GB2312" w:cs="仿宋_GB2312"/>
          <w:sz w:val="32"/>
          <w:szCs w:val="32"/>
          <w:highlight w:val="none"/>
        </w:rPr>
        <w:t>宁波市自然资源和规划局</w:t>
      </w:r>
      <w:r>
        <w:rPr>
          <w:rFonts w:hint="eastAsia" w:ascii="仿宋_GB2312" w:hAnsi="仿宋_GB2312" w:eastAsia="仿宋_GB2312" w:cs="仿宋_GB2312"/>
          <w:sz w:val="32"/>
          <w:szCs w:val="32"/>
          <w:highlight w:val="none"/>
          <w:lang w:val="en-US" w:eastAsia="zh-CN"/>
        </w:rPr>
        <w:t xml:space="preserve">        </w:t>
      </w:r>
      <w:r>
        <w:rPr>
          <w:rFonts w:hint="eastAsia" w:ascii="仿宋_GB2312" w:hAnsi="仿宋_GB2312" w:eastAsia="仿宋_GB2312" w:cs="仿宋_GB2312"/>
          <w:sz w:val="32"/>
          <w:szCs w:val="32"/>
          <w:highlight w:val="none"/>
          <w:lang w:eastAsia="zh-CN"/>
        </w:rPr>
        <w:t>宁波市住房和城乡建设局</w:t>
      </w:r>
    </w:p>
    <w:p w14:paraId="0BFAB3BD">
      <w:pPr>
        <w:keepNext w:val="0"/>
        <w:keepLines w:val="0"/>
        <w:pageBreakBefore w:val="0"/>
        <w:kinsoku/>
        <w:wordWrap/>
        <w:overflowPunct/>
        <w:topLinePunct w:val="0"/>
        <w:autoSpaceDE/>
        <w:autoSpaceDN/>
        <w:bidi w:val="0"/>
        <w:adjustRightInd/>
        <w:snapToGrid/>
        <w:spacing w:line="580" w:lineRule="exact"/>
        <w:ind w:firstLine="632" w:firstLineChars="200"/>
        <w:jc w:val="right"/>
        <w:textAlignment w:val="baseline"/>
        <w:rPr>
          <w:rFonts w:hint="eastAsia" w:ascii="仿宋_GB2312" w:hAnsi="仿宋_GB2312" w:eastAsia="仿宋_GB2312" w:cs="仿宋_GB2312"/>
          <w:sz w:val="32"/>
          <w:szCs w:val="32"/>
          <w:highlight w:val="none"/>
          <w:lang w:eastAsia="zh-CN"/>
        </w:rPr>
      </w:pPr>
      <w:r>
        <w:rPr>
          <w:rFonts w:hint="eastAsia" w:ascii="仿宋_GB2312" w:hAnsi="仿宋_GB2312" w:eastAsia="仿宋_GB2312" w:cs="仿宋_GB2312"/>
          <w:sz w:val="32"/>
          <w:szCs w:val="32"/>
          <w:highlight w:val="none"/>
        </w:rPr>
        <w:t>202</w:t>
      </w:r>
      <w:r>
        <w:rPr>
          <w:rFonts w:hint="eastAsia" w:ascii="仿宋_GB2312" w:hAnsi="仿宋_GB2312" w:eastAsia="仿宋_GB2312" w:cs="仿宋_GB2312"/>
          <w:sz w:val="32"/>
          <w:szCs w:val="32"/>
          <w:highlight w:val="none"/>
          <w:lang w:val="en-US" w:eastAsia="zh-CN"/>
        </w:rPr>
        <w:t>5</w:t>
      </w:r>
      <w:r>
        <w:rPr>
          <w:rFonts w:hint="eastAsia" w:ascii="仿宋_GB2312" w:hAnsi="仿宋_GB2312" w:eastAsia="仿宋_GB2312" w:cs="仿宋_GB2312"/>
          <w:sz w:val="32"/>
          <w:szCs w:val="32"/>
          <w:highlight w:val="none"/>
        </w:rPr>
        <w:t>年</w:t>
      </w:r>
      <w:r>
        <w:rPr>
          <w:rFonts w:hint="eastAsia" w:ascii="仿宋_GB2312" w:hAnsi="仿宋_GB2312" w:eastAsia="仿宋_GB2312" w:cs="仿宋_GB2312"/>
          <w:sz w:val="32"/>
          <w:szCs w:val="32"/>
          <w:highlight w:val="none"/>
          <w:lang w:val="en-US" w:eastAsia="zh-CN"/>
        </w:rPr>
        <w:t>9</w:t>
      </w:r>
      <w:r>
        <w:rPr>
          <w:rFonts w:hint="eastAsia" w:ascii="仿宋_GB2312" w:hAnsi="仿宋_GB2312" w:eastAsia="仿宋_GB2312" w:cs="仿宋_GB2312"/>
          <w:sz w:val="32"/>
          <w:szCs w:val="32"/>
          <w:highlight w:val="none"/>
        </w:rPr>
        <w:t>月</w:t>
      </w:r>
      <w:r>
        <w:rPr>
          <w:rFonts w:hint="eastAsia" w:ascii="仿宋_GB2312" w:hAnsi="仿宋_GB2312" w:eastAsia="仿宋_GB2312" w:cs="仿宋_GB2312"/>
          <w:sz w:val="32"/>
          <w:szCs w:val="32"/>
          <w:highlight w:val="none"/>
          <w:lang w:val="en-US" w:eastAsia="zh-CN"/>
        </w:rPr>
        <w:t>30</w:t>
      </w:r>
      <w:r>
        <w:rPr>
          <w:rFonts w:hint="eastAsia" w:ascii="仿宋_GB2312" w:hAnsi="仿宋_GB2312" w:eastAsia="仿宋_GB2312" w:cs="仿宋_GB2312"/>
          <w:sz w:val="32"/>
          <w:szCs w:val="32"/>
          <w:highlight w:val="none"/>
        </w:rPr>
        <w:t>日</w:t>
      </w:r>
    </w:p>
    <w:p w14:paraId="565B3F6F">
      <w:pPr>
        <w:keepNext w:val="0"/>
        <w:keepLines w:val="0"/>
        <w:pageBreakBefore w:val="0"/>
        <w:widowControl w:val="0"/>
        <w:kinsoku/>
        <w:wordWrap/>
        <w:overflowPunct/>
        <w:topLinePunct w:val="0"/>
        <w:autoSpaceDE/>
        <w:autoSpaceDN/>
        <w:bidi w:val="0"/>
        <w:adjustRightInd/>
        <w:snapToGrid/>
        <w:spacing w:line="300" w:lineRule="exact"/>
        <w:textAlignment w:val="auto"/>
        <w:rPr>
          <w:rFonts w:hint="eastAsia" w:ascii="宋体" w:hAnsi="宋体" w:eastAsia="宋体" w:cs="宋体"/>
          <w:i w:val="0"/>
          <w:color w:val="000000"/>
          <w:kern w:val="0"/>
          <w:sz w:val="28"/>
          <w:szCs w:val="28"/>
          <w:u w:val="none"/>
          <w:lang w:val="en-US" w:eastAsia="zh-CN" w:bidi="ar"/>
        </w:rPr>
      </w:pPr>
    </w:p>
    <w:p w14:paraId="327F2A7C">
      <w:pPr>
        <w:keepNext w:val="0"/>
        <w:keepLines w:val="0"/>
        <w:pageBreakBefore w:val="0"/>
        <w:widowControl w:val="0"/>
        <w:kinsoku/>
        <w:wordWrap/>
        <w:overflowPunct/>
        <w:topLinePunct w:val="0"/>
        <w:autoSpaceDE/>
        <w:autoSpaceDN/>
        <w:bidi w:val="0"/>
        <w:adjustRightInd/>
        <w:snapToGrid/>
        <w:spacing w:line="300" w:lineRule="exact"/>
        <w:textAlignment w:val="auto"/>
        <w:rPr>
          <w:rFonts w:hint="eastAsia" w:ascii="宋体" w:hAnsi="宋体" w:eastAsia="宋体" w:cs="宋体"/>
          <w:i w:val="0"/>
          <w:color w:val="000000"/>
          <w:kern w:val="0"/>
          <w:sz w:val="28"/>
          <w:szCs w:val="28"/>
          <w:u w:val="none"/>
          <w:lang w:val="en-US" w:eastAsia="zh-CN" w:bidi="ar"/>
        </w:rPr>
      </w:pPr>
    </w:p>
    <w:p w14:paraId="386271A6">
      <w:pPr>
        <w:keepNext w:val="0"/>
        <w:keepLines w:val="0"/>
        <w:pageBreakBefore w:val="0"/>
        <w:widowControl w:val="0"/>
        <w:kinsoku/>
        <w:wordWrap/>
        <w:overflowPunct/>
        <w:topLinePunct w:val="0"/>
        <w:autoSpaceDE/>
        <w:autoSpaceDN/>
        <w:bidi w:val="0"/>
        <w:adjustRightInd/>
        <w:snapToGrid/>
        <w:spacing w:line="300" w:lineRule="exact"/>
        <w:textAlignment w:val="auto"/>
        <w:rPr>
          <w:rFonts w:hint="eastAsia" w:ascii="宋体" w:hAnsi="宋体" w:eastAsia="宋体" w:cs="宋体"/>
          <w:i w:val="0"/>
          <w:color w:val="000000"/>
          <w:kern w:val="0"/>
          <w:sz w:val="28"/>
          <w:szCs w:val="28"/>
          <w:u w:val="none"/>
          <w:lang w:val="en-US" w:eastAsia="zh-CN" w:bidi="ar"/>
        </w:rPr>
      </w:pPr>
    </w:p>
    <w:p w14:paraId="69E7BA97">
      <w:pPr>
        <w:rPr>
          <w:rFonts w:hint="eastAsia" w:ascii="宋体" w:hAnsi="宋体" w:cs="宋体"/>
          <w:i w:val="0"/>
          <w:color w:val="000000"/>
          <w:kern w:val="0"/>
          <w:sz w:val="18"/>
          <w:szCs w:val="18"/>
          <w:u w:val="none"/>
          <w:lang w:val="en-US" w:eastAsia="zh-CN" w:bidi="ar"/>
        </w:rPr>
      </w:pPr>
      <w:bookmarkStart w:id="0" w:name="_GoBack"/>
      <w:bookmarkEnd w:id="0"/>
    </w:p>
    <w:p w14:paraId="2A522AF7">
      <w:pPr>
        <w:rPr>
          <w:rFonts w:hint="default" w:ascii="宋体" w:hAnsi="宋体" w:cs="宋体"/>
          <w:i w:val="0"/>
          <w:color w:val="000000"/>
          <w:kern w:val="0"/>
          <w:sz w:val="18"/>
          <w:szCs w:val="18"/>
          <w:u w:val="none"/>
          <w:lang w:val="en-US" w:eastAsia="zh-CN" w:bidi="ar"/>
        </w:rPr>
      </w:pPr>
    </w:p>
    <w:sectPr>
      <w:footerReference r:id="rId3" w:type="default"/>
      <w:footerReference r:id="rId4" w:type="even"/>
      <w:footnotePr>
        <w:numRestart w:val="eachPage"/>
      </w:footnotePr>
      <w:pgSz w:w="11906" w:h="16838"/>
      <w:pgMar w:top="1361" w:right="1474" w:bottom="1474" w:left="1588" w:header="851" w:footer="794" w:gutter="0"/>
      <w:pgNumType w:start="1"/>
      <w:cols w:space="720" w:num="1"/>
      <w:titlePg/>
      <w:docGrid w:type="linesAndChars" w:linePitch="587" w:charSpace="-849"/>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altName w:val="DejaVu Sans"/>
    <w:panose1 w:val="02020603050405020304"/>
    <w:charset w:val="86"/>
    <w:family w:val="auto"/>
    <w:pitch w:val="default"/>
    <w:sig w:usb0="00000000" w:usb1="00000000" w:usb2="00000009" w:usb3="00000000" w:csb0="400001FF" w:csb1="FFFF0000"/>
  </w:font>
  <w:font w:name="宋体">
    <w:altName w:val="方正书宋_GBK"/>
    <w:panose1 w:val="00000000000000000000"/>
    <w:charset w:val="86"/>
    <w:family w:val="auto"/>
    <w:pitch w:val="default"/>
    <w:sig w:usb0="00000000" w:usb1="00000000" w:usb2="00000000" w:usb3="00000000" w:csb0="00000000" w:csb1="00000000"/>
  </w:font>
  <w:font w:name="Wingdings">
    <w:panose1 w:val="05000000000000000000"/>
    <w:charset w:val="02"/>
    <w:family w:val="auto"/>
    <w:pitch w:val="default"/>
    <w:sig w:usb0="00000000" w:usb1="00000000" w:usb2="00000000" w:usb3="00000000" w:csb0="80000000" w:csb1="00000000"/>
  </w:font>
  <w:font w:name="Arial">
    <w:altName w:val="DejaVu Sans"/>
    <w:panose1 w:val="020B0604020202020204"/>
    <w:charset w:val="01"/>
    <w:family w:val="swiss"/>
    <w:pitch w:val="default"/>
    <w:sig w:usb0="E0002AFF" w:usb1="C0007843" w:usb2="00000009" w:usb3="00000000" w:csb0="400001FF" w:csb1="FFFF0000"/>
  </w:font>
  <w:font w:name="黑体">
    <w:altName w:val="方正黑体_GBK"/>
    <w:panose1 w:val="02010609060101010101"/>
    <w:charset w:val="86"/>
    <w:family w:val="auto"/>
    <w:pitch w:val="default"/>
    <w:sig w:usb0="800002BF" w:usb1="38CF7CFA" w:usb2="00000016" w:usb3="00000000" w:csb0="00040001" w:csb1="00000000"/>
  </w:font>
  <w:font w:name="Courier New">
    <w:altName w:val="DejaVu Sans"/>
    <w:panose1 w:val="02070309020205020404"/>
    <w:charset w:val="01"/>
    <w:family w:val="modern"/>
    <w:pitch w:val="default"/>
    <w:sig w:usb0="E0002AFF" w:usb1="C0007843" w:usb2="00000009" w:usb3="00000000" w:csb0="400001FF" w:csb1="FFFF0000"/>
  </w:font>
  <w:font w:name="Symbol">
    <w:panose1 w:val="02000609000000000000"/>
    <w:charset w:val="02"/>
    <w:family w:val="roman"/>
    <w:pitch w:val="default"/>
    <w:sig w:usb0="800000AF" w:usb1="4000204A" w:usb2="00000000" w:usb3="00000000" w:csb0="20000000" w:csb1="00000000"/>
  </w:font>
  <w:font w:name="DejaVu Sans">
    <w:panose1 w:val="020B0603030804020204"/>
    <w:charset w:val="00"/>
    <w:family w:val="auto"/>
    <w:pitch w:val="default"/>
    <w:sig w:usb0="E7006EFF" w:usb1="D200FDFF" w:usb2="0A246029" w:usb3="0400200C" w:csb0="600001FF" w:csb1="DFFF0000"/>
  </w:font>
  <w:font w:name="Calibri">
    <w:altName w:val="DejaVu Sans"/>
    <w:panose1 w:val="020F0502020204030204"/>
    <w:charset w:val="00"/>
    <w:family w:val="swiss"/>
    <w:pitch w:val="default"/>
    <w:sig w:usb0="00000000" w:usb1="00000000" w:usb2="00000001" w:usb3="00000000" w:csb0="0000019F" w:csb1="00000000"/>
  </w:font>
  <w:font w:name="方正书宋_GBK">
    <w:panose1 w:val="02000000000000000000"/>
    <w:charset w:val="86"/>
    <w:family w:val="auto"/>
    <w:pitch w:val="default"/>
    <w:sig w:usb0="00000001" w:usb1="08000000" w:usb2="00000000" w:usb3="00000000" w:csb0="00040000" w:csb1="00000000"/>
  </w:font>
  <w:font w:name="仿宋_GB2312">
    <w:altName w:val="方正仿宋_GBK"/>
    <w:panose1 w:val="02010609030101010101"/>
    <w:charset w:val="86"/>
    <w:family w:val="auto"/>
    <w:pitch w:val="default"/>
    <w:sig w:usb0="00000000" w:usb1="00000000" w:usb2="00000000" w:usb3="00000000" w:csb0="00040000" w:csb1="00000000"/>
  </w:font>
  <w:font w:name="方正仿宋_GBK">
    <w:panose1 w:val="02000000000000000000"/>
    <w:charset w:val="86"/>
    <w:family w:val="auto"/>
    <w:pitch w:val="default"/>
    <w:sig w:usb0="00000001" w:usb1="08000000" w:usb2="00000000" w:usb3="00000000" w:csb0="00040000" w:csb1="00000000"/>
  </w:font>
  <w:font w:name="Cambria">
    <w:altName w:val="Noto Sans Syriac Eastern"/>
    <w:panose1 w:val="02040503050406030204"/>
    <w:charset w:val="00"/>
    <w:family w:val="roman"/>
    <w:pitch w:val="default"/>
    <w:sig w:usb0="00000000" w:usb1="00000000" w:usb2="02000000" w:usb3="00000000" w:csb0="2000019F" w:csb1="00000000"/>
  </w:font>
  <w:font w:name="Noto Sans Syriac Eastern">
    <w:panose1 w:val="02040503050306020203"/>
    <w:charset w:val="86"/>
    <w:family w:val="auto"/>
    <w:pitch w:val="default"/>
    <w:sig w:usb0="00000000" w:usb1="00000000" w:usb2="00000080" w:usb3="00000000" w:csb0="203E0161" w:csb1="D7FF0000"/>
  </w:font>
  <w:font w:name="仿宋">
    <w:altName w:val="方正仿宋_GBK"/>
    <w:panose1 w:val="02010609060101010101"/>
    <w:charset w:val="86"/>
    <w:family w:val="auto"/>
    <w:pitch w:val="default"/>
    <w:sig w:usb0="00000000" w:usb1="00000000" w:usb2="00000016" w:usb3="00000000" w:csb0="00040001" w:csb1="00000000"/>
  </w:font>
  <w:font w:name="方正小标宋简体">
    <w:panose1 w:val="02000000000000000000"/>
    <w:charset w:val="86"/>
    <w:family w:val="script"/>
    <w:pitch w:val="default"/>
    <w:sig w:usb0="A00002BF" w:usb1="184F6CFA" w:usb2="00000012" w:usb3="00000000" w:csb0="00040001" w:csb1="00000000"/>
  </w:font>
  <w:font w:name="楷体_GB2312">
    <w:altName w:val="方正楷体_GBK"/>
    <w:panose1 w:val="02010609030101010101"/>
    <w:charset w:val="00"/>
    <w:family w:val="auto"/>
    <w:pitch w:val="default"/>
    <w:sig w:usb0="00000000" w:usb1="00000000" w:usb2="00000000" w:usb3="00000000" w:csb0="00040000" w:csb1="00000000"/>
  </w:font>
  <w:font w:name="方正楷体_GBK">
    <w:panose1 w:val="02000000000000000000"/>
    <w:charset w:val="86"/>
    <w:family w:val="auto"/>
    <w:pitch w:val="default"/>
    <w:sig w:usb0="00000001" w:usb1="08000000" w:usb2="00000000" w:usb3="00000000" w:csb0="00040000" w:csb1="00000000"/>
  </w:font>
  <w:font w:name="方正黑体_GBK">
    <w:panose1 w:val="02000000000000000000"/>
    <w:charset w:val="86"/>
    <w:family w:val="auto"/>
    <w:pitch w:val="default"/>
    <w:sig w:usb0="00000001" w:usb1="08000000" w:usb2="00000000" w:usb3="00000000" w:csb0="0004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56283842">
    <w:pPr>
      <w:pStyle w:val="7"/>
      <w:framePr w:wrap="around" w:vAnchor="text" w:hAnchor="margin" w:xAlign="inside" w:y="1"/>
      <w:ind w:right="360" w:firstLine="360"/>
      <w:rPr>
        <w:rStyle w:val="15"/>
        <w:rFonts w:hint="eastAsia"/>
      </w:rPr>
    </w:pPr>
  </w:p>
  <w:p w14:paraId="16644FB1">
    <w:pPr>
      <w:pStyle w:val="7"/>
      <w:ind w:right="360" w:firstLine="7560" w:firstLineChars="2700"/>
      <w:jc w:val="right"/>
      <w:rPr>
        <w:rFonts w:hint="eastAsia" w:ascii="仿宋_GB2312" w:eastAsia="仿宋_GB2312"/>
        <w:sz w:val="28"/>
      </w:rPr>
    </w:pPr>
    <w:r>
      <w:rPr>
        <w:rFonts w:ascii="仿宋_GB2312" w:eastAsia="仿宋_GB2312"/>
        <w:kern w:val="0"/>
        <w:sz w:val="28"/>
        <w:szCs w:val="21"/>
      </w:rPr>
      <w:t xml:space="preserve">- </w:t>
    </w:r>
    <w:r>
      <w:rPr>
        <w:rFonts w:ascii="仿宋_GB2312" w:eastAsia="仿宋_GB2312"/>
        <w:kern w:val="0"/>
        <w:sz w:val="28"/>
        <w:szCs w:val="21"/>
      </w:rPr>
      <w:fldChar w:fldCharType="begin"/>
    </w:r>
    <w:r>
      <w:rPr>
        <w:rFonts w:ascii="仿宋_GB2312" w:eastAsia="仿宋_GB2312"/>
        <w:kern w:val="0"/>
        <w:sz w:val="28"/>
        <w:szCs w:val="21"/>
      </w:rPr>
      <w:instrText xml:space="preserve"> PAGE </w:instrText>
    </w:r>
    <w:r>
      <w:rPr>
        <w:rFonts w:ascii="仿宋_GB2312" w:eastAsia="仿宋_GB2312"/>
        <w:kern w:val="0"/>
        <w:sz w:val="28"/>
        <w:szCs w:val="21"/>
      </w:rPr>
      <w:fldChar w:fldCharType="separate"/>
    </w:r>
    <w:r>
      <w:rPr>
        <w:rFonts w:ascii="仿宋_GB2312" w:eastAsia="仿宋_GB2312"/>
        <w:kern w:val="0"/>
        <w:sz w:val="28"/>
        <w:szCs w:val="21"/>
      </w:rPr>
      <w:t>3</w:t>
    </w:r>
    <w:r>
      <w:rPr>
        <w:rFonts w:ascii="仿宋_GB2312" w:eastAsia="仿宋_GB2312"/>
        <w:kern w:val="0"/>
        <w:sz w:val="28"/>
        <w:szCs w:val="21"/>
      </w:rPr>
      <w:fldChar w:fldCharType="end"/>
    </w:r>
    <w:r>
      <w:rPr>
        <w:rFonts w:ascii="仿宋_GB2312" w:eastAsia="仿宋_GB2312"/>
        <w:kern w:val="0"/>
        <w:sz w:val="28"/>
        <w:szCs w:val="21"/>
      </w:rPr>
      <w:t xml:space="preserve"> -</w:t>
    </w:r>
  </w:p>
  <w:p w14:paraId="6621B291">
    <w:pPr>
      <w:pStyle w:val="7"/>
      <w:ind w:right="360" w:firstLine="4860" w:firstLineChars="2700"/>
      <w:jc w:val="right"/>
      <w:rPr>
        <w:rFonts w:hint="eastAsia"/>
      </w:rPr>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2E463962">
    <w:pPr>
      <w:pStyle w:val="7"/>
      <w:framePr w:wrap="around" w:vAnchor="text" w:hAnchor="margin" w:xAlign="inside" w:y="1"/>
      <w:ind w:right="360" w:firstLine="280" w:firstLineChars="100"/>
      <w:jc w:val="both"/>
      <w:rPr>
        <w:rStyle w:val="15"/>
        <w:rFonts w:ascii="仿宋_GB2312" w:eastAsia="仿宋_GB2312"/>
        <w:sz w:val="28"/>
      </w:rPr>
    </w:pPr>
    <w:r>
      <w:rPr>
        <w:rStyle w:val="15"/>
        <w:rFonts w:ascii="仿宋_GB2312" w:eastAsia="仿宋_GB2312"/>
        <w:kern w:val="0"/>
        <w:sz w:val="28"/>
        <w:szCs w:val="21"/>
      </w:rPr>
      <w:t xml:space="preserve">- </w:t>
    </w:r>
    <w:r>
      <w:rPr>
        <w:rStyle w:val="15"/>
        <w:rFonts w:ascii="仿宋_GB2312" w:eastAsia="仿宋_GB2312"/>
        <w:kern w:val="0"/>
        <w:sz w:val="28"/>
        <w:szCs w:val="21"/>
      </w:rPr>
      <w:fldChar w:fldCharType="begin"/>
    </w:r>
    <w:r>
      <w:rPr>
        <w:rStyle w:val="15"/>
        <w:rFonts w:ascii="仿宋_GB2312" w:eastAsia="仿宋_GB2312"/>
        <w:kern w:val="0"/>
        <w:sz w:val="28"/>
        <w:szCs w:val="21"/>
      </w:rPr>
      <w:instrText xml:space="preserve"> PAGE </w:instrText>
    </w:r>
    <w:r>
      <w:rPr>
        <w:rStyle w:val="15"/>
        <w:rFonts w:ascii="仿宋_GB2312" w:eastAsia="仿宋_GB2312"/>
        <w:kern w:val="0"/>
        <w:sz w:val="28"/>
        <w:szCs w:val="21"/>
      </w:rPr>
      <w:fldChar w:fldCharType="separate"/>
    </w:r>
    <w:r>
      <w:rPr>
        <w:rStyle w:val="15"/>
        <w:rFonts w:ascii="仿宋_GB2312" w:eastAsia="仿宋_GB2312"/>
        <w:kern w:val="0"/>
        <w:sz w:val="28"/>
        <w:szCs w:val="21"/>
      </w:rPr>
      <w:t>2</w:t>
    </w:r>
    <w:r>
      <w:rPr>
        <w:rStyle w:val="15"/>
        <w:rFonts w:ascii="仿宋_GB2312" w:eastAsia="仿宋_GB2312"/>
        <w:kern w:val="0"/>
        <w:sz w:val="28"/>
        <w:szCs w:val="21"/>
      </w:rPr>
      <w:fldChar w:fldCharType="end"/>
    </w:r>
    <w:r>
      <w:rPr>
        <w:rStyle w:val="15"/>
        <w:rFonts w:ascii="仿宋_GB2312" w:eastAsia="仿宋_GB2312"/>
        <w:kern w:val="0"/>
        <w:sz w:val="28"/>
        <w:szCs w:val="21"/>
      </w:rPr>
      <w:t xml:space="preserve"> -</w:t>
    </w:r>
  </w:p>
  <w:p w14:paraId="67D1D5EE">
    <w:pPr>
      <w:pStyle w:val="7"/>
      <w:framePr w:wrap="around" w:vAnchor="text" w:hAnchor="margin" w:xAlign="inside" w:y="1"/>
      <w:ind w:right="360" w:firstLine="360"/>
      <w:rPr>
        <w:rStyle w:val="15"/>
        <w:rFonts w:hint="eastAsia"/>
      </w:rPr>
    </w:pPr>
  </w:p>
  <w:p w14:paraId="1CAC38B2">
    <w:pPr>
      <w:pStyle w:val="7"/>
      <w:ind w:right="360" w:firstLine="360"/>
      <w:rPr>
        <w:rFonts w:hint="eastAsia"/>
      </w:rPr>
    </w:pP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3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footnotePr>
    <w:numRestart w:val="eachPage"/>
  </w:footnotePr>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000000"/>
    <w:rsid w:val="018835AF"/>
    <w:rsid w:val="092D577C"/>
    <w:rsid w:val="09441C08"/>
    <w:rsid w:val="09C9704D"/>
    <w:rsid w:val="0E382131"/>
    <w:rsid w:val="0F312DD9"/>
    <w:rsid w:val="0FDFF0A3"/>
    <w:rsid w:val="151E36E7"/>
    <w:rsid w:val="19FB6E8C"/>
    <w:rsid w:val="1AAF5B61"/>
    <w:rsid w:val="1E6FC335"/>
    <w:rsid w:val="1F1FAD82"/>
    <w:rsid w:val="229C3BC0"/>
    <w:rsid w:val="24B06F3C"/>
    <w:rsid w:val="24DF19AA"/>
    <w:rsid w:val="29C457AD"/>
    <w:rsid w:val="2AD406CA"/>
    <w:rsid w:val="2BF7798D"/>
    <w:rsid w:val="34E21316"/>
    <w:rsid w:val="355BD614"/>
    <w:rsid w:val="37BF4022"/>
    <w:rsid w:val="3C473819"/>
    <w:rsid w:val="3D756D58"/>
    <w:rsid w:val="3DDBDA16"/>
    <w:rsid w:val="3E7D80AD"/>
    <w:rsid w:val="3ED8A29E"/>
    <w:rsid w:val="3FCF6ACD"/>
    <w:rsid w:val="3FDECAF0"/>
    <w:rsid w:val="44BBBC2E"/>
    <w:rsid w:val="45143952"/>
    <w:rsid w:val="45A7F094"/>
    <w:rsid w:val="465E0506"/>
    <w:rsid w:val="466E5DC6"/>
    <w:rsid w:val="4916594F"/>
    <w:rsid w:val="491C05A0"/>
    <w:rsid w:val="4E554D82"/>
    <w:rsid w:val="4EBFAD34"/>
    <w:rsid w:val="4FBEB297"/>
    <w:rsid w:val="533CF40E"/>
    <w:rsid w:val="53FF4FFA"/>
    <w:rsid w:val="5A2C5F68"/>
    <w:rsid w:val="5DD6C473"/>
    <w:rsid w:val="5DF64A39"/>
    <w:rsid w:val="5DFD198C"/>
    <w:rsid w:val="5DFFDE04"/>
    <w:rsid w:val="5FFFDB55"/>
    <w:rsid w:val="60FF5443"/>
    <w:rsid w:val="619F2F01"/>
    <w:rsid w:val="646E3E3C"/>
    <w:rsid w:val="65FF891C"/>
    <w:rsid w:val="672B20AE"/>
    <w:rsid w:val="67EFC695"/>
    <w:rsid w:val="6A8C1020"/>
    <w:rsid w:val="6C78705C"/>
    <w:rsid w:val="6DFAF0CF"/>
    <w:rsid w:val="6FBA6F35"/>
    <w:rsid w:val="6FBDCD3B"/>
    <w:rsid w:val="717FAC2F"/>
    <w:rsid w:val="718FBA6B"/>
    <w:rsid w:val="724A0F10"/>
    <w:rsid w:val="73790356"/>
    <w:rsid w:val="73DD8506"/>
    <w:rsid w:val="73E99916"/>
    <w:rsid w:val="73FF7D72"/>
    <w:rsid w:val="7777B6C1"/>
    <w:rsid w:val="77CF4B95"/>
    <w:rsid w:val="77EBDD90"/>
    <w:rsid w:val="77F93989"/>
    <w:rsid w:val="77FF33AA"/>
    <w:rsid w:val="78D520C6"/>
    <w:rsid w:val="7A5D0B9A"/>
    <w:rsid w:val="7AF91650"/>
    <w:rsid w:val="7B7AF35D"/>
    <w:rsid w:val="7BB9447B"/>
    <w:rsid w:val="7BFF9C11"/>
    <w:rsid w:val="7C87484E"/>
    <w:rsid w:val="7D22404F"/>
    <w:rsid w:val="7DDF3595"/>
    <w:rsid w:val="7DFF030A"/>
    <w:rsid w:val="7EBF02E4"/>
    <w:rsid w:val="7F7F5F7E"/>
    <w:rsid w:val="7F9ADC01"/>
    <w:rsid w:val="7FB752AC"/>
    <w:rsid w:val="7FE96ECB"/>
    <w:rsid w:val="7FFBA4B9"/>
    <w:rsid w:val="96EDF6E5"/>
    <w:rsid w:val="9E7C7620"/>
    <w:rsid w:val="9FFF41BC"/>
    <w:rsid w:val="A8BF17ED"/>
    <w:rsid w:val="AFBFC274"/>
    <w:rsid w:val="B17B1F12"/>
    <w:rsid w:val="B5DBC55F"/>
    <w:rsid w:val="B5FBA9EB"/>
    <w:rsid w:val="B7FDDEB6"/>
    <w:rsid w:val="B7FF146F"/>
    <w:rsid w:val="BB3ED817"/>
    <w:rsid w:val="BD7E0D69"/>
    <w:rsid w:val="BFBFF865"/>
    <w:rsid w:val="BFC1301A"/>
    <w:rsid w:val="BFF400B2"/>
    <w:rsid w:val="BFFF17B5"/>
    <w:rsid w:val="BFFF48DA"/>
    <w:rsid w:val="C2FF73BB"/>
    <w:rsid w:val="CF6E8A25"/>
    <w:rsid w:val="CFEBFD03"/>
    <w:rsid w:val="D33FCFD2"/>
    <w:rsid w:val="DFBB105F"/>
    <w:rsid w:val="DFEE6C28"/>
    <w:rsid w:val="E337BDE0"/>
    <w:rsid w:val="EE7F6A7D"/>
    <w:rsid w:val="EF997F68"/>
    <w:rsid w:val="EFFB7783"/>
    <w:rsid w:val="EFFD1106"/>
    <w:rsid w:val="EFFDEE3A"/>
    <w:rsid w:val="F3B9F6DE"/>
    <w:rsid w:val="F3FEF644"/>
    <w:rsid w:val="F7BFB06A"/>
    <w:rsid w:val="F7FD5462"/>
    <w:rsid w:val="F87F1498"/>
    <w:rsid w:val="F9EF9874"/>
    <w:rsid w:val="F9FFD303"/>
    <w:rsid w:val="FABEA9A8"/>
    <w:rsid w:val="FADD99C6"/>
    <w:rsid w:val="FAFD60D5"/>
    <w:rsid w:val="FBDAF381"/>
    <w:rsid w:val="FBDBD0DE"/>
    <w:rsid w:val="FBEBCCFA"/>
    <w:rsid w:val="FBFFAFA7"/>
    <w:rsid w:val="FDE50350"/>
    <w:rsid w:val="FDE73289"/>
    <w:rsid w:val="FDE9155E"/>
    <w:rsid w:val="FDEF1FBA"/>
    <w:rsid w:val="FE27D36D"/>
    <w:rsid w:val="FE8F9BF2"/>
    <w:rsid w:val="FEEFEB63"/>
    <w:rsid w:val="FEF316F2"/>
    <w:rsid w:val="FEF7217A"/>
    <w:rsid w:val="FEFFBE25"/>
    <w:rsid w:val="FF1FF5D5"/>
    <w:rsid w:val="FF7FD472"/>
    <w:rsid w:val="FFDFA36D"/>
    <w:rsid w:val="FFEF2FD4"/>
    <w:rsid w:val="FFFEBD94"/>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qFormat="1"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qFormat="1" w:unhideWhenUsed="0" w:uiPriority="0" w:semiHidden="0" w:name="Body Text"/>
    <w:lsdException w:qFormat="1"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qFormat="1" w:unhideWhenUsed="0" w:uiPriority="0" w:semiHidden="0" w:name="Body Text First Indent"/>
    <w:lsdException w:qFormat="1"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qFormat="1"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qFormat="1"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34"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宋体" w:cs="Times New Roman"/>
      <w:kern w:val="2"/>
      <w:sz w:val="21"/>
      <w:szCs w:val="24"/>
      <w:lang w:val="en-US" w:eastAsia="zh-CN" w:bidi="ar-SA"/>
    </w:rPr>
  </w:style>
  <w:style w:type="paragraph" w:styleId="2">
    <w:name w:val="heading 1"/>
    <w:basedOn w:val="1"/>
    <w:next w:val="1"/>
    <w:qFormat/>
    <w:uiPriority w:val="0"/>
    <w:pPr>
      <w:keepNext/>
      <w:keepLines/>
      <w:spacing w:before="340" w:after="330" w:line="576" w:lineRule="auto"/>
      <w:outlineLvl w:val="0"/>
    </w:pPr>
    <w:rPr>
      <w:b/>
      <w:kern w:val="44"/>
      <w:sz w:val="44"/>
    </w:rPr>
  </w:style>
  <w:style w:type="paragraph" w:styleId="3">
    <w:name w:val="heading 2"/>
    <w:basedOn w:val="1"/>
    <w:next w:val="1"/>
    <w:semiHidden/>
    <w:unhideWhenUsed/>
    <w:qFormat/>
    <w:uiPriority w:val="0"/>
    <w:pPr>
      <w:spacing w:before="0" w:beforeAutospacing="1" w:after="0" w:afterAutospacing="1"/>
      <w:jc w:val="left"/>
    </w:pPr>
    <w:rPr>
      <w:rFonts w:hint="eastAsia" w:ascii="宋体" w:hAnsi="宋体" w:eastAsia="宋体" w:cs="宋体"/>
      <w:b/>
      <w:kern w:val="0"/>
      <w:sz w:val="36"/>
      <w:szCs w:val="36"/>
      <w:lang w:val="en-US" w:eastAsia="zh-CN" w:bidi="ar"/>
    </w:rPr>
  </w:style>
  <w:style w:type="character" w:default="1" w:styleId="14">
    <w:name w:val="Default Paragraph Font"/>
    <w:semiHidden/>
    <w:qFormat/>
    <w:uiPriority w:val="0"/>
  </w:style>
  <w:style w:type="table" w:default="1" w:styleId="12">
    <w:name w:val="Normal Table"/>
    <w:semiHidden/>
    <w:qFormat/>
    <w:uiPriority w:val="0"/>
    <w:tblPr>
      <w:tblCellMar>
        <w:top w:w="0" w:type="dxa"/>
        <w:left w:w="108" w:type="dxa"/>
        <w:bottom w:w="0" w:type="dxa"/>
        <w:right w:w="108" w:type="dxa"/>
      </w:tblCellMar>
    </w:tblPr>
  </w:style>
  <w:style w:type="paragraph" w:styleId="4">
    <w:name w:val="Body Text"/>
    <w:basedOn w:val="1"/>
    <w:qFormat/>
    <w:uiPriority w:val="0"/>
    <w:pPr>
      <w:spacing w:before="0" w:after="140" w:line="276" w:lineRule="auto"/>
    </w:pPr>
  </w:style>
  <w:style w:type="paragraph" w:styleId="5">
    <w:name w:val="Body Text Indent"/>
    <w:basedOn w:val="1"/>
    <w:qFormat/>
    <w:uiPriority w:val="0"/>
    <w:pPr>
      <w:spacing w:after="120"/>
      <w:ind w:left="420" w:leftChars="200"/>
    </w:pPr>
    <w:rPr>
      <w:rFonts w:ascii="Calibri" w:hAnsi="Calibri" w:eastAsia="宋体" w:cs="Times New Roman"/>
    </w:rPr>
  </w:style>
  <w:style w:type="paragraph" w:styleId="6">
    <w:name w:val="Plain Text"/>
    <w:basedOn w:val="1"/>
    <w:qFormat/>
    <w:uiPriority w:val="0"/>
    <w:rPr>
      <w:rFonts w:ascii="仿宋_GB2312" w:hAnsi="Courier New" w:eastAsia="仿宋_GB2312" w:cs="Courier New"/>
      <w:sz w:val="32"/>
      <w:szCs w:val="21"/>
    </w:rPr>
  </w:style>
  <w:style w:type="paragraph" w:styleId="7">
    <w:name w:val="footer"/>
    <w:basedOn w:val="1"/>
    <w:qFormat/>
    <w:uiPriority w:val="0"/>
    <w:pPr>
      <w:tabs>
        <w:tab w:val="center" w:pos="4153"/>
        <w:tab w:val="right" w:pos="8306"/>
      </w:tabs>
      <w:snapToGrid w:val="0"/>
      <w:jc w:val="left"/>
    </w:pPr>
    <w:rPr>
      <w:sz w:val="18"/>
      <w:szCs w:val="18"/>
    </w:rPr>
  </w:style>
  <w:style w:type="paragraph" w:styleId="8">
    <w:name w:val="Normal (Web)"/>
    <w:basedOn w:val="1"/>
    <w:qFormat/>
    <w:uiPriority w:val="0"/>
    <w:pPr>
      <w:spacing w:before="0" w:beforeAutospacing="1" w:after="0" w:afterAutospacing="1"/>
      <w:ind w:left="0" w:right="0"/>
      <w:jc w:val="left"/>
    </w:pPr>
    <w:rPr>
      <w:kern w:val="0"/>
      <w:sz w:val="24"/>
      <w:lang w:val="en-US" w:eastAsia="zh-CN" w:bidi="ar"/>
    </w:rPr>
  </w:style>
  <w:style w:type="paragraph" w:styleId="9">
    <w:name w:val="Title"/>
    <w:basedOn w:val="1"/>
    <w:next w:val="1"/>
    <w:qFormat/>
    <w:uiPriority w:val="0"/>
    <w:pPr>
      <w:spacing w:before="240" w:after="60" w:line="240" w:lineRule="auto"/>
      <w:ind w:firstLine="0" w:firstLineChars="0"/>
      <w:jc w:val="center"/>
      <w:outlineLvl w:val="0"/>
    </w:pPr>
    <w:rPr>
      <w:rFonts w:ascii="Cambria" w:hAnsi="Cambria"/>
      <w:b/>
      <w:bCs/>
      <w:sz w:val="32"/>
      <w:szCs w:val="32"/>
    </w:rPr>
  </w:style>
  <w:style w:type="paragraph" w:styleId="10">
    <w:name w:val="Body Text First Indent"/>
    <w:basedOn w:val="4"/>
    <w:qFormat/>
    <w:uiPriority w:val="0"/>
    <w:pPr>
      <w:ind w:firstLine="420" w:firstLineChars="100"/>
    </w:pPr>
  </w:style>
  <w:style w:type="paragraph" w:styleId="11">
    <w:name w:val="Body Text First Indent 2"/>
    <w:basedOn w:val="5"/>
    <w:qFormat/>
    <w:uiPriority w:val="0"/>
    <w:pPr>
      <w:ind w:left="0" w:leftChars="0" w:firstLine="40"/>
    </w:pPr>
    <w:rPr>
      <w:rFonts w:ascii="仿宋_GB2312" w:hAnsi="仿宋_GB2312" w:eastAsia="仿宋" w:cs="仿宋_GB2312"/>
      <w:sz w:val="32"/>
      <w:szCs w:val="32"/>
    </w:rPr>
  </w:style>
  <w:style w:type="table" w:styleId="13">
    <w:name w:val="Table Grid"/>
    <w:basedOn w:val="12"/>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15">
    <w:name w:val="page number"/>
    <w:basedOn w:val="14"/>
    <w:qFormat/>
    <w:uiPriority w:val="0"/>
  </w:style>
  <w:style w:type="paragraph" w:styleId="16">
    <w:name w:val="List Paragraph"/>
    <w:basedOn w:val="1"/>
    <w:qFormat/>
    <w:uiPriority w:val="34"/>
    <w:pPr>
      <w:ind w:firstLine="420" w:firstLineChars="200"/>
    </w:p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theme" Target="theme/theme1.xml"/><Relationship Id="rId4" Type="http://schemas.openxmlformats.org/officeDocument/2006/relationships/footer" Target="footer2.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5</Pages>
  <Words>0</Words>
  <Characters>0</Characters>
  <Lines>0</Lines>
  <Paragraphs>0</Paragraphs>
  <TotalTime>1</TotalTime>
  <ScaleCrop>false</ScaleCrop>
  <LinksUpToDate>false</LinksUpToDate>
  <CharactersWithSpaces>0</CharactersWithSpaces>
  <Application>WPS Office_12.8.2.1118_F1E327BC-269C-435d-A152-05C5408002CA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2014-11-11T12:08:00Z</dcterms:created>
  <dc:creator>yuep</dc:creator>
  <cp:lastModifiedBy>nbghj</cp:lastModifiedBy>
  <cp:lastPrinted>2025-09-20T01:25:00Z</cp:lastPrinted>
  <dcterms:modified xsi:type="dcterms:W3CDTF">2025-10-09T13:03:12Z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2052-12.8.2.1118</vt:lpwstr>
  </property>
  <property fmtid="{D5CDD505-2E9C-101B-9397-08002B2CF9AE}" pid="3" name="ICV">
    <vt:lpwstr>E0ABDDCF3630418E8591A38421ACB389</vt:lpwstr>
  </property>
</Properties>
</file>