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5DF90E">
      <w:pPr>
        <w:keepNext w:val="0"/>
        <w:keepLines w:val="0"/>
        <w:pageBreakBefore w:val="0"/>
        <w:widowControl w:val="0"/>
        <w:numPr>
          <w:ilvl w:val="0"/>
          <w:numId w:val="0"/>
        </w:numPr>
        <w:shd w:val="clear"/>
        <w:kinsoku/>
        <w:wordWrap/>
        <w:overflowPunct/>
        <w:topLinePunct w:val="0"/>
        <w:autoSpaceDE/>
        <w:autoSpaceDN/>
        <w:bidi w:val="0"/>
        <w:adjustRightInd/>
        <w:snapToGrid/>
        <w:spacing w:line="660" w:lineRule="exact"/>
        <w:jc w:val="center"/>
        <w:textAlignment w:val="auto"/>
        <w:rPr>
          <w:rFonts w:hint="default" w:ascii="方正小标宋_GBK" w:hAnsi="方正小标宋_GBK" w:eastAsia="方正小标宋_GBK" w:cs="方正小标宋_GBK"/>
          <w:color w:val="000000" w:themeColor="text1"/>
          <w:sz w:val="36"/>
          <w:szCs w:val="36"/>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sz w:val="36"/>
          <w:szCs w:val="36"/>
          <w:lang w:val="en-US" w:eastAsia="zh-CN"/>
          <w14:textFill>
            <w14:solidFill>
              <w14:schemeClr w14:val="tx1"/>
            </w14:solidFill>
          </w14:textFill>
        </w:rPr>
        <w:t>《宁波市建设工程规划许可豁免项目清单（第一批）（征求意见稿）》起草说明</w:t>
      </w:r>
    </w:p>
    <w:p w14:paraId="4D0A2877">
      <w:pPr>
        <w:keepNext w:val="0"/>
        <w:keepLines w:val="0"/>
        <w:pageBreakBefore w:val="0"/>
        <w:widowControl w:val="0"/>
        <w:numPr>
          <w:ilvl w:val="0"/>
          <w:numId w:val="0"/>
        </w:numPr>
        <w:shd w:val="clear"/>
        <w:kinsoku/>
        <w:wordWrap/>
        <w:overflowPunct/>
        <w:topLinePunct w:val="0"/>
        <w:autoSpaceDE/>
        <w:autoSpaceDN/>
        <w:bidi w:val="0"/>
        <w:adjustRightInd/>
        <w:snapToGrid/>
        <w:spacing w:line="660" w:lineRule="exact"/>
        <w:ind w:firstLine="632" w:firstLineChars="200"/>
        <w:jc w:val="left"/>
        <w:textAlignment w:val="auto"/>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根据</w:t>
      </w:r>
      <w:r>
        <w:rPr>
          <w:rFonts w:hint="default" w:ascii="仿宋" w:hAnsi="仿宋" w:eastAsia="仿宋" w:cs="仿宋"/>
          <w:color w:val="000000" w:themeColor="text1"/>
          <w:sz w:val="32"/>
          <w:szCs w:val="32"/>
          <w:lang w:val="en-US" w:eastAsia="zh-CN"/>
          <w14:textFill>
            <w14:solidFill>
              <w14:schemeClr w14:val="tx1"/>
            </w14:solidFill>
          </w14:textFill>
        </w:rPr>
        <w:t>《浙江省</w:t>
      </w:r>
      <w:r>
        <w:rPr>
          <w:rFonts w:hint="eastAsia" w:ascii="仿宋" w:hAnsi="仿宋" w:eastAsia="仿宋" w:cs="仿宋"/>
          <w:color w:val="000000" w:themeColor="text1"/>
          <w:sz w:val="32"/>
          <w:szCs w:val="32"/>
          <w:lang w:val="en-US" w:eastAsia="zh-CN"/>
          <w14:textFill>
            <w14:solidFill>
              <w14:schemeClr w14:val="tx1"/>
            </w14:solidFill>
          </w14:textFill>
        </w:rPr>
        <w:t>国土空间</w:t>
      </w:r>
      <w:r>
        <w:rPr>
          <w:rFonts w:hint="default" w:ascii="仿宋" w:hAnsi="仿宋" w:eastAsia="仿宋" w:cs="仿宋"/>
          <w:color w:val="000000" w:themeColor="text1"/>
          <w:sz w:val="32"/>
          <w:szCs w:val="32"/>
          <w:lang w:val="en-US" w:eastAsia="zh-CN"/>
          <w14:textFill>
            <w14:solidFill>
              <w14:schemeClr w14:val="tx1"/>
            </w14:solidFill>
          </w14:textFill>
        </w:rPr>
        <w:t>规划条例》</w:t>
      </w:r>
      <w:r>
        <w:rPr>
          <w:rFonts w:hint="eastAsia" w:ascii="仿宋" w:hAnsi="仿宋" w:eastAsia="仿宋" w:cs="仿宋"/>
          <w:color w:val="000000" w:themeColor="text1"/>
          <w:sz w:val="32"/>
          <w:szCs w:val="32"/>
          <w:lang w:val="en-US" w:eastAsia="zh-CN"/>
          <w14:textFill>
            <w14:solidFill>
              <w14:schemeClr w14:val="tx1"/>
            </w14:solidFill>
          </w14:textFill>
        </w:rPr>
        <w:t>《浙江省城市景观风貌条例》等有关规定，结合宁波市国土空间规划管理实际，</w:t>
      </w:r>
      <w:r>
        <w:rPr>
          <w:rFonts w:hint="eastAsia" w:ascii="仿宋" w:hAnsi="仿宋" w:eastAsia="仿宋" w:cs="仿宋"/>
          <w:color w:val="000000" w:themeColor="text1"/>
          <w:sz w:val="32"/>
          <w:szCs w:val="32"/>
          <w:lang w:val="zh-TW" w:eastAsia="zh-CN"/>
          <w14:textFill>
            <w14:solidFill>
              <w14:schemeClr w14:val="tx1"/>
            </w14:solidFill>
          </w14:textFill>
        </w:rPr>
        <w:t>并参考其它城市已出台的相关文件，</w:t>
      </w:r>
      <w:r>
        <w:rPr>
          <w:rFonts w:hint="eastAsia" w:ascii="仿宋" w:hAnsi="仿宋" w:eastAsia="仿宋" w:cs="仿宋"/>
          <w:color w:val="000000" w:themeColor="text1"/>
          <w:sz w:val="32"/>
          <w:szCs w:val="32"/>
          <w:lang w:val="en-US" w:eastAsia="zh-CN"/>
          <w14:textFill>
            <w14:solidFill>
              <w14:schemeClr w14:val="tx1"/>
            </w14:solidFill>
          </w14:textFill>
        </w:rPr>
        <w:t>我局研究代拟了《宁波市建设工程规划许可豁免项目清单（第一批）（征求意见稿）》（以下简称《清单》）。具体情况说明如下：</w:t>
      </w:r>
    </w:p>
    <w:p w14:paraId="3B85D7CA">
      <w:pPr>
        <w:keepNext w:val="0"/>
        <w:keepLines w:val="0"/>
        <w:pageBreakBefore w:val="0"/>
        <w:widowControl w:val="0"/>
        <w:numPr>
          <w:ilvl w:val="0"/>
          <w:numId w:val="1"/>
        </w:numPr>
        <w:shd w:val="clear"/>
        <w:kinsoku/>
        <w:wordWrap/>
        <w:overflowPunct/>
        <w:topLinePunct w:val="0"/>
        <w:autoSpaceDE/>
        <w:autoSpaceDN/>
        <w:bidi w:val="0"/>
        <w:adjustRightInd/>
        <w:snapToGrid/>
        <w:spacing w:line="660" w:lineRule="exact"/>
        <w:ind w:firstLine="632" w:firstLineChars="200"/>
        <w:jc w:val="left"/>
        <w:textAlignment w:val="auto"/>
        <w:rPr>
          <w:rFonts w:hint="eastAsia" w:ascii="国标黑体" w:hAnsi="国标黑体" w:eastAsia="国标黑体" w:cs="国标黑体"/>
          <w:b/>
          <w:bCs/>
          <w:color w:val="000000" w:themeColor="text1"/>
          <w:sz w:val="32"/>
          <w:szCs w:val="32"/>
          <w:lang w:val="en-US" w:eastAsia="zh-CN"/>
          <w14:textFill>
            <w14:solidFill>
              <w14:schemeClr w14:val="tx1"/>
            </w14:solidFill>
          </w14:textFill>
        </w:rPr>
      </w:pPr>
      <w:r>
        <w:rPr>
          <w:rFonts w:hint="eastAsia" w:ascii="国标黑体" w:hAnsi="国标黑体" w:eastAsia="国标黑体" w:cs="国标黑体"/>
          <w:b/>
          <w:bCs/>
          <w:color w:val="000000" w:themeColor="text1"/>
          <w:sz w:val="32"/>
          <w:szCs w:val="32"/>
          <w:lang w:val="en-US" w:eastAsia="zh-CN"/>
          <w14:textFill>
            <w14:solidFill>
              <w14:schemeClr w14:val="tx1"/>
            </w14:solidFill>
          </w14:textFill>
        </w:rPr>
        <w:t>起草背景</w:t>
      </w:r>
    </w:p>
    <w:p w14:paraId="49D59073">
      <w:pPr>
        <w:keepNext w:val="0"/>
        <w:keepLines w:val="0"/>
        <w:pageBreakBefore w:val="0"/>
        <w:widowControl w:val="0"/>
        <w:numPr>
          <w:ilvl w:val="0"/>
          <w:numId w:val="0"/>
        </w:numPr>
        <w:shd w:val="clear"/>
        <w:kinsoku/>
        <w:wordWrap/>
        <w:overflowPunct/>
        <w:topLinePunct w:val="0"/>
        <w:autoSpaceDE/>
        <w:autoSpaceDN/>
        <w:bidi w:val="0"/>
        <w:adjustRightInd/>
        <w:snapToGrid/>
        <w:spacing w:line="660" w:lineRule="exact"/>
        <w:ind w:firstLine="632" w:firstLineChars="200"/>
        <w:jc w:val="left"/>
        <w:textAlignment w:val="auto"/>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（一）根据</w:t>
      </w:r>
      <w:r>
        <w:rPr>
          <w:rFonts w:hint="default" w:ascii="仿宋" w:hAnsi="仿宋" w:eastAsia="仿宋" w:cs="仿宋"/>
          <w:color w:val="000000" w:themeColor="text1"/>
          <w:sz w:val="32"/>
          <w:szCs w:val="32"/>
          <w:lang w:val="en-US" w:eastAsia="zh-CN"/>
          <w14:textFill>
            <w14:solidFill>
              <w14:schemeClr w14:val="tx1"/>
            </w14:solidFill>
          </w14:textFill>
        </w:rPr>
        <w:t>《浙江省</w:t>
      </w:r>
      <w:r>
        <w:rPr>
          <w:rFonts w:hint="eastAsia" w:ascii="仿宋" w:hAnsi="仿宋" w:eastAsia="仿宋" w:cs="仿宋"/>
          <w:color w:val="000000" w:themeColor="text1"/>
          <w:sz w:val="32"/>
          <w:szCs w:val="32"/>
          <w:lang w:val="en-US" w:eastAsia="zh-CN"/>
          <w14:textFill>
            <w14:solidFill>
              <w14:schemeClr w14:val="tx1"/>
            </w14:solidFill>
          </w14:textFill>
        </w:rPr>
        <w:t>国土空间</w:t>
      </w:r>
      <w:r>
        <w:rPr>
          <w:rFonts w:hint="default" w:ascii="仿宋" w:hAnsi="仿宋" w:eastAsia="仿宋" w:cs="仿宋"/>
          <w:color w:val="000000" w:themeColor="text1"/>
          <w:sz w:val="32"/>
          <w:szCs w:val="32"/>
          <w:lang w:val="en-US" w:eastAsia="zh-CN"/>
          <w14:textFill>
            <w14:solidFill>
              <w14:schemeClr w14:val="tx1"/>
            </w14:solidFill>
          </w14:textFill>
        </w:rPr>
        <w:t>规划条例》</w:t>
      </w:r>
      <w:r>
        <w:rPr>
          <w:rFonts w:hint="eastAsia" w:ascii="仿宋" w:hAnsi="仿宋" w:eastAsia="仿宋" w:cs="仿宋"/>
          <w:color w:val="000000" w:themeColor="text1"/>
          <w:sz w:val="32"/>
          <w:szCs w:val="32"/>
          <w:lang w:val="en-US" w:eastAsia="zh-CN"/>
          <w14:textFill>
            <w14:solidFill>
              <w14:schemeClr w14:val="tx1"/>
            </w14:solidFill>
          </w14:textFill>
        </w:rPr>
        <w:t>（自2025年1月1日起施行）</w:t>
      </w:r>
      <w:r>
        <w:rPr>
          <w:rFonts w:hint="default" w:ascii="仿宋" w:hAnsi="仿宋" w:eastAsia="仿宋" w:cs="仿宋"/>
          <w:color w:val="000000" w:themeColor="text1"/>
          <w:sz w:val="32"/>
          <w:szCs w:val="32"/>
          <w:lang w:val="en-US" w:eastAsia="zh-CN"/>
          <w14:textFill>
            <w14:solidFill>
              <w14:schemeClr w14:val="tx1"/>
            </w14:solidFill>
          </w14:textFill>
        </w:rPr>
        <w:t>第五十条</w:t>
      </w:r>
      <w:r>
        <w:rPr>
          <w:rFonts w:hint="eastAsia" w:ascii="仿宋" w:hAnsi="仿宋" w:eastAsia="仿宋" w:cs="仿宋"/>
          <w:color w:val="000000" w:themeColor="text1"/>
          <w:sz w:val="32"/>
          <w:szCs w:val="32"/>
          <w:lang w:val="en-US" w:eastAsia="zh-CN"/>
          <w14:textFill>
            <w14:solidFill>
              <w14:schemeClr w14:val="tx1"/>
            </w14:solidFill>
          </w14:textFill>
        </w:rPr>
        <w:t>第二款规定：“</w:t>
      </w:r>
      <w:r>
        <w:rPr>
          <w:rFonts w:hint="default" w:ascii="仿宋" w:hAnsi="仿宋" w:eastAsia="仿宋" w:cs="仿宋"/>
          <w:color w:val="000000" w:themeColor="text1"/>
          <w:sz w:val="32"/>
          <w:szCs w:val="32"/>
          <w:lang w:val="en-US" w:eastAsia="zh-CN"/>
          <w14:textFill>
            <w14:solidFill>
              <w14:schemeClr w14:val="tx1"/>
            </w14:solidFill>
          </w14:textFill>
        </w:rPr>
        <w:t>有相关主管部门实施管理、有统一建设标准和规范要求、不影响安全管理要求且不影响国土空间规划实施的老旧小区微改造、城市公共空间服务功能提升微更新等工程建设，不需要申请建设工程规划许可证。具体办法由设区的市人民政府制定</w:t>
      </w:r>
      <w:r>
        <w:rPr>
          <w:rFonts w:hint="eastAsia" w:ascii="仿宋" w:hAnsi="仿宋" w:eastAsia="仿宋" w:cs="仿宋"/>
          <w:color w:val="000000" w:themeColor="text1"/>
          <w:sz w:val="32"/>
          <w:szCs w:val="32"/>
          <w:lang w:val="en-US" w:eastAsia="zh-CN"/>
          <w14:textFill>
            <w14:solidFill>
              <w14:schemeClr w14:val="tx1"/>
            </w14:solidFill>
          </w14:textFill>
        </w:rPr>
        <w:t>。”由我局代拟该条款配套的市政府规范性文件。</w:t>
      </w:r>
    </w:p>
    <w:p w14:paraId="65D4EF37">
      <w:pPr>
        <w:keepNext w:val="0"/>
        <w:keepLines w:val="0"/>
        <w:pageBreakBefore w:val="0"/>
        <w:widowControl w:val="0"/>
        <w:numPr>
          <w:ilvl w:val="0"/>
          <w:numId w:val="0"/>
        </w:numPr>
        <w:shd w:val="clear"/>
        <w:kinsoku/>
        <w:wordWrap/>
        <w:overflowPunct/>
        <w:topLinePunct w:val="0"/>
        <w:autoSpaceDE/>
        <w:autoSpaceDN/>
        <w:bidi w:val="0"/>
        <w:adjustRightInd/>
        <w:snapToGrid/>
        <w:spacing w:line="660" w:lineRule="exact"/>
        <w:ind w:firstLine="632"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（二）为进一步精简审批事项、提高服务效率、优化营商环境，切实保障民生工程顺利推进，结合宁波实际规划审批工作情况，我局研究代拟了《清单》。</w:t>
      </w:r>
    </w:p>
    <w:p w14:paraId="5CB02F49">
      <w:pPr>
        <w:keepNext w:val="0"/>
        <w:keepLines w:val="0"/>
        <w:pageBreakBefore w:val="0"/>
        <w:widowControl w:val="0"/>
        <w:numPr>
          <w:ilvl w:val="0"/>
          <w:numId w:val="0"/>
        </w:numPr>
        <w:shd w:val="clear"/>
        <w:kinsoku/>
        <w:wordWrap/>
        <w:overflowPunct/>
        <w:topLinePunct w:val="0"/>
        <w:autoSpaceDE/>
        <w:autoSpaceDN/>
        <w:bidi w:val="0"/>
        <w:adjustRightInd/>
        <w:snapToGrid/>
        <w:spacing w:line="660" w:lineRule="exact"/>
        <w:ind w:firstLine="632" w:firstLineChars="200"/>
        <w:jc w:val="left"/>
        <w:textAlignment w:val="auto"/>
        <w:rPr>
          <w:rFonts w:hint="eastAsia" w:ascii="国标黑体" w:hAnsi="国标黑体" w:eastAsia="国标黑体" w:cs="国标黑体"/>
          <w:b/>
          <w:bCs/>
          <w:color w:val="000000" w:themeColor="text1"/>
          <w:sz w:val="32"/>
          <w:szCs w:val="32"/>
          <w:lang w:val="en-US" w:eastAsia="zh-CN"/>
          <w14:textFill>
            <w14:solidFill>
              <w14:schemeClr w14:val="tx1"/>
            </w14:solidFill>
          </w14:textFill>
        </w:rPr>
      </w:pPr>
      <w:r>
        <w:rPr>
          <w:rFonts w:hint="eastAsia" w:ascii="国标黑体" w:hAnsi="国标黑体" w:eastAsia="国标黑体" w:cs="国标黑体"/>
          <w:b/>
          <w:bCs/>
          <w:color w:val="000000" w:themeColor="text1"/>
          <w:sz w:val="32"/>
          <w:szCs w:val="32"/>
          <w:lang w:val="en-US" w:eastAsia="zh-CN"/>
          <w14:textFill>
            <w14:solidFill>
              <w14:schemeClr w14:val="tx1"/>
            </w14:solidFill>
          </w14:textFill>
        </w:rPr>
        <w:t>三、起草依据</w:t>
      </w:r>
    </w:p>
    <w:p w14:paraId="1A88AB14">
      <w:pPr>
        <w:keepNext w:val="0"/>
        <w:keepLines w:val="0"/>
        <w:pageBreakBefore w:val="0"/>
        <w:widowControl w:val="0"/>
        <w:numPr>
          <w:ilvl w:val="0"/>
          <w:numId w:val="0"/>
        </w:numPr>
        <w:shd w:val="clear"/>
        <w:kinsoku/>
        <w:wordWrap/>
        <w:overflowPunct/>
        <w:topLinePunct w:val="0"/>
        <w:autoSpaceDE/>
        <w:autoSpaceDN/>
        <w:bidi w:val="0"/>
        <w:adjustRightInd/>
        <w:snapToGrid/>
        <w:spacing w:line="660" w:lineRule="exact"/>
        <w:ind w:firstLine="632"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依据《浙江省国土空间规划条例》《浙江省城市景观风貌条例》《浙江省优化营商环境条例》</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《浙江省自然资源厅关于加强规划实施监督管理的指导意见》（浙自然资规〔2024〕10号）</w:t>
      </w:r>
      <w:r>
        <w:rPr>
          <w:rFonts w:hint="eastAsia" w:ascii="仿宋" w:hAnsi="仿宋" w:eastAsia="仿宋" w:cs="仿宋"/>
          <w:color w:val="000000" w:themeColor="text1"/>
          <w:sz w:val="32"/>
          <w:szCs w:val="32"/>
          <w:lang w:val="en-US" w:eastAsia="zh-CN"/>
          <w14:textFill>
            <w14:solidFill>
              <w14:schemeClr w14:val="tx1"/>
            </w14:solidFill>
          </w14:textFill>
        </w:rPr>
        <w:t>等有关法律、法规及政策文件，借鉴其他地市已出台的相关文件，并梳理和总结宁波市实际工作中的经验和做法。</w:t>
      </w:r>
    </w:p>
    <w:p w14:paraId="47E8733F">
      <w:pPr>
        <w:keepNext w:val="0"/>
        <w:keepLines w:val="0"/>
        <w:pageBreakBefore w:val="0"/>
        <w:widowControl w:val="0"/>
        <w:numPr>
          <w:ilvl w:val="0"/>
          <w:numId w:val="2"/>
        </w:numPr>
        <w:shd w:val="clear"/>
        <w:kinsoku/>
        <w:wordWrap/>
        <w:overflowPunct/>
        <w:topLinePunct w:val="0"/>
        <w:autoSpaceDE/>
        <w:autoSpaceDN/>
        <w:bidi w:val="0"/>
        <w:adjustRightInd/>
        <w:snapToGrid/>
        <w:spacing w:line="660" w:lineRule="exact"/>
        <w:ind w:firstLine="632" w:firstLineChars="200"/>
        <w:jc w:val="left"/>
        <w:textAlignment w:val="auto"/>
        <w:rPr>
          <w:rFonts w:hint="eastAsia" w:ascii="国标黑体" w:hAnsi="国标黑体" w:eastAsia="国标黑体" w:cs="国标黑体"/>
          <w:b/>
          <w:bCs/>
          <w:color w:val="000000" w:themeColor="text1"/>
          <w:sz w:val="32"/>
          <w:szCs w:val="32"/>
          <w:lang w:val="en-US" w:eastAsia="zh-CN"/>
          <w14:textFill>
            <w14:solidFill>
              <w14:schemeClr w14:val="tx1"/>
            </w14:solidFill>
          </w14:textFill>
        </w:rPr>
      </w:pPr>
      <w:r>
        <w:rPr>
          <w:rFonts w:hint="eastAsia" w:ascii="国标黑体" w:hAnsi="国标黑体" w:eastAsia="国标黑体" w:cs="国标黑体"/>
          <w:b/>
          <w:bCs/>
          <w:color w:val="000000" w:themeColor="text1"/>
          <w:sz w:val="32"/>
          <w:szCs w:val="32"/>
          <w:lang w:val="en-US" w:eastAsia="zh-CN"/>
          <w14:textFill>
            <w14:solidFill>
              <w14:schemeClr w14:val="tx1"/>
            </w14:solidFill>
          </w14:textFill>
        </w:rPr>
        <w:t>起草过程</w:t>
      </w:r>
    </w:p>
    <w:p w14:paraId="4C6B66AC">
      <w:pPr>
        <w:keepNext w:val="0"/>
        <w:keepLines w:val="0"/>
        <w:pageBreakBefore w:val="0"/>
        <w:widowControl w:val="0"/>
        <w:numPr>
          <w:ilvl w:val="0"/>
          <w:numId w:val="0"/>
        </w:numPr>
        <w:shd w:val="clear"/>
        <w:kinsoku/>
        <w:wordWrap/>
        <w:overflowPunct/>
        <w:topLinePunct w:val="0"/>
        <w:autoSpaceDE/>
        <w:autoSpaceDN/>
        <w:bidi w:val="0"/>
        <w:adjustRightInd/>
        <w:snapToGrid/>
        <w:spacing w:line="660" w:lineRule="exact"/>
        <w:jc w:val="left"/>
        <w:textAlignment w:val="auto"/>
        <w:rPr>
          <w:rFonts w:hint="default"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国标黑体" w:hAnsi="国标黑体" w:eastAsia="国标黑体" w:cs="国标黑体"/>
          <w:b/>
          <w:bCs/>
          <w:color w:val="000000" w:themeColor="text1"/>
          <w:sz w:val="32"/>
          <w:szCs w:val="32"/>
          <w:lang w:val="en-US" w:eastAsia="zh-CN"/>
          <w14:textFill>
            <w14:solidFill>
              <w14:schemeClr w14:val="tx1"/>
            </w14:solidFill>
          </w14:textFill>
        </w:rPr>
        <w:t xml:space="preserve">  </w:t>
      </w:r>
      <w:r>
        <w:rPr>
          <w:rFonts w:hint="eastAsia" w:ascii="仿宋" w:hAnsi="仿宋" w:eastAsia="仿宋" w:cs="仿宋"/>
          <w:b w:val="0"/>
          <w:bCs w:val="0"/>
          <w:color w:val="000000" w:themeColor="text1"/>
          <w:sz w:val="32"/>
          <w:szCs w:val="32"/>
          <w:lang w:val="en-US" w:eastAsia="zh-CN"/>
          <w14:textFill>
            <w14:solidFill>
              <w14:schemeClr w14:val="tx1"/>
            </w14:solidFill>
          </w14:textFill>
        </w:rPr>
        <w:t xml:space="preserve">  1.调研阶段。2025年4月我局启动《清单》前期调研和资料收集等基础工作。</w:t>
      </w:r>
    </w:p>
    <w:p w14:paraId="7C9A1F19">
      <w:pPr>
        <w:keepNext w:val="0"/>
        <w:keepLines w:val="0"/>
        <w:pageBreakBefore w:val="0"/>
        <w:widowControl w:val="0"/>
        <w:numPr>
          <w:ilvl w:val="0"/>
          <w:numId w:val="0"/>
        </w:numPr>
        <w:shd w:val="clear"/>
        <w:kinsoku/>
        <w:wordWrap/>
        <w:overflowPunct/>
        <w:topLinePunct w:val="0"/>
        <w:autoSpaceDE/>
        <w:autoSpaceDN/>
        <w:bidi w:val="0"/>
        <w:adjustRightInd/>
        <w:snapToGrid/>
        <w:spacing w:line="660" w:lineRule="exact"/>
        <w:ind w:firstLine="632" w:firstLineChars="200"/>
        <w:jc w:val="left"/>
        <w:textAlignment w:val="auto"/>
        <w:rPr>
          <w:rFonts w:hint="default"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2.起草阶段。2025年年7月上旬完成初稿草拟并征求</w:t>
      </w:r>
      <w:r>
        <w:rPr>
          <w:rFonts w:hint="eastAsia" w:ascii="仿宋" w:hAnsi="仿宋" w:eastAsia="仿宋" w:cs="仿宋"/>
          <w:color w:val="auto"/>
          <w:sz w:val="32"/>
          <w:szCs w:val="32"/>
          <w:lang w:val="en-US" w:eastAsia="zh-CN"/>
        </w:rPr>
        <w:t>各区（县、市）资规局</w:t>
      </w:r>
      <w:r>
        <w:rPr>
          <w:rFonts w:hint="eastAsia" w:ascii="仿宋" w:hAnsi="仿宋" w:eastAsia="仿宋" w:cs="仿宋"/>
          <w:b w:val="0"/>
          <w:bCs w:val="0"/>
          <w:color w:val="000000" w:themeColor="text1"/>
          <w:sz w:val="32"/>
          <w:szCs w:val="32"/>
          <w:lang w:val="en-US" w:eastAsia="zh-CN"/>
          <w14:textFill>
            <w14:solidFill>
              <w14:schemeClr w14:val="tx1"/>
            </w14:solidFill>
          </w14:textFill>
        </w:rPr>
        <w:t>意见，修改完善后形成征求意见稿。</w:t>
      </w:r>
    </w:p>
    <w:p w14:paraId="526006B1">
      <w:pPr>
        <w:keepNext w:val="0"/>
        <w:keepLines w:val="0"/>
        <w:pageBreakBefore w:val="0"/>
        <w:widowControl w:val="0"/>
        <w:numPr>
          <w:ilvl w:val="0"/>
          <w:numId w:val="0"/>
        </w:numPr>
        <w:shd w:val="clear"/>
        <w:kinsoku/>
        <w:wordWrap/>
        <w:overflowPunct/>
        <w:topLinePunct w:val="0"/>
        <w:autoSpaceDE/>
        <w:autoSpaceDN/>
        <w:bidi w:val="0"/>
        <w:adjustRightInd/>
        <w:snapToGrid/>
        <w:spacing w:line="660" w:lineRule="exact"/>
        <w:ind w:firstLine="632" w:firstLineChars="200"/>
        <w:jc w:val="lef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3.书面征求意见阶段。征求意见稿于2025年8月15日向13个市级有关单位、12个</w:t>
      </w:r>
      <w:r>
        <w:rPr>
          <w:rFonts w:hint="eastAsia" w:ascii="仿宋" w:hAnsi="仿宋" w:eastAsia="仿宋" w:cs="仿宋"/>
          <w:color w:val="auto"/>
          <w:sz w:val="32"/>
          <w:szCs w:val="32"/>
          <w:lang w:val="en-US" w:eastAsia="zh-CN"/>
        </w:rPr>
        <w:t>各区（县、市）资规局</w:t>
      </w:r>
      <w:r>
        <w:rPr>
          <w:rFonts w:hint="eastAsia" w:ascii="仿宋" w:hAnsi="仿宋" w:eastAsia="仿宋" w:cs="仿宋"/>
          <w:b w:val="0"/>
          <w:bCs w:val="0"/>
          <w:color w:val="000000" w:themeColor="text1"/>
          <w:sz w:val="32"/>
          <w:szCs w:val="32"/>
          <w:lang w:val="en-US" w:eastAsia="zh-CN"/>
          <w14:textFill>
            <w14:solidFill>
              <w14:schemeClr w14:val="tx1"/>
            </w14:solidFill>
          </w14:textFill>
        </w:rPr>
        <w:t>和属地政府及6个市局机关有关处室征求意见，根据反馈意见对征求意见稿修改完善。</w:t>
      </w:r>
    </w:p>
    <w:p w14:paraId="02DC7D80">
      <w:pPr>
        <w:keepNext w:val="0"/>
        <w:keepLines w:val="0"/>
        <w:pageBreakBefore w:val="0"/>
        <w:widowControl w:val="0"/>
        <w:numPr>
          <w:ilvl w:val="0"/>
          <w:numId w:val="0"/>
        </w:numPr>
        <w:shd w:val="clear"/>
        <w:kinsoku/>
        <w:wordWrap/>
        <w:overflowPunct/>
        <w:topLinePunct w:val="0"/>
        <w:autoSpaceDE/>
        <w:autoSpaceDN/>
        <w:bidi w:val="0"/>
        <w:adjustRightInd/>
        <w:snapToGrid/>
        <w:spacing w:line="660" w:lineRule="exact"/>
        <w:ind w:firstLine="632" w:firstLineChars="200"/>
        <w:jc w:val="left"/>
        <w:textAlignment w:val="auto"/>
        <w:rPr>
          <w:rFonts w:hint="default"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4.召集讨论会。9月3日组织相关市级有关单位、区资规分局和市局机关有关处室召开专题讨论会。根据会议意见再次对征求意见稿修改完善，最终形成本次征求意见稿。</w:t>
      </w:r>
    </w:p>
    <w:p w14:paraId="06907E6E">
      <w:pPr>
        <w:keepNext w:val="0"/>
        <w:keepLines w:val="0"/>
        <w:pageBreakBefore w:val="0"/>
        <w:widowControl w:val="0"/>
        <w:numPr>
          <w:ilvl w:val="0"/>
          <w:numId w:val="2"/>
        </w:numPr>
        <w:shd w:val="clear"/>
        <w:kinsoku/>
        <w:wordWrap/>
        <w:overflowPunct/>
        <w:topLinePunct w:val="0"/>
        <w:autoSpaceDE/>
        <w:autoSpaceDN/>
        <w:bidi w:val="0"/>
        <w:adjustRightInd/>
        <w:snapToGrid/>
        <w:spacing w:line="660" w:lineRule="exact"/>
        <w:ind w:left="0" w:leftChars="0" w:firstLine="632" w:firstLineChars="200"/>
        <w:jc w:val="left"/>
        <w:textAlignment w:val="auto"/>
        <w:rPr>
          <w:rFonts w:hint="eastAsia" w:ascii="国标黑体" w:hAnsi="国标黑体" w:eastAsia="国标黑体" w:cs="国标黑体"/>
          <w:b/>
          <w:bCs/>
          <w:color w:val="000000" w:themeColor="text1"/>
          <w:sz w:val="32"/>
          <w:szCs w:val="32"/>
          <w:lang w:val="en-US" w:eastAsia="zh-CN"/>
          <w14:textFill>
            <w14:solidFill>
              <w14:schemeClr w14:val="tx1"/>
            </w14:solidFill>
          </w14:textFill>
        </w:rPr>
      </w:pPr>
      <w:r>
        <w:rPr>
          <w:rFonts w:hint="eastAsia" w:ascii="国标黑体" w:hAnsi="国标黑体" w:eastAsia="国标黑体" w:cs="国标黑体"/>
          <w:b/>
          <w:bCs/>
          <w:color w:val="000000" w:themeColor="text1"/>
          <w:sz w:val="32"/>
          <w:szCs w:val="32"/>
          <w:lang w:val="en-US" w:eastAsia="zh-CN"/>
          <w14:textFill>
            <w14:solidFill>
              <w14:schemeClr w14:val="tx1"/>
            </w14:solidFill>
          </w14:textFill>
        </w:rPr>
        <w:t>主要内容</w:t>
      </w:r>
    </w:p>
    <w:p w14:paraId="772F217C">
      <w:pPr>
        <w:keepNext w:val="0"/>
        <w:keepLines w:val="0"/>
        <w:pageBreakBefore w:val="0"/>
        <w:widowControl w:val="0"/>
        <w:numPr>
          <w:ilvl w:val="0"/>
          <w:numId w:val="0"/>
        </w:numPr>
        <w:shd w:val="clear"/>
        <w:kinsoku/>
        <w:wordWrap/>
        <w:overflowPunct/>
        <w:topLinePunct w:val="0"/>
        <w:autoSpaceDE/>
        <w:autoSpaceDN/>
        <w:bidi w:val="0"/>
        <w:adjustRightInd/>
        <w:snapToGrid/>
        <w:spacing w:line="660" w:lineRule="exact"/>
        <w:ind w:firstLine="632" w:firstLineChars="200"/>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《清单》</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在宁波市中心城区（包含市辖区内三江核心片、镇海片、北仑片、奉化片和东部滨海片）及前湾新区片的城市、镇规划区。各县（市）可参照执行。</w:t>
      </w:r>
    </w:p>
    <w:p w14:paraId="478BD5A5">
      <w:pPr>
        <w:keepNext w:val="0"/>
        <w:keepLines w:val="0"/>
        <w:pageBreakBefore w:val="0"/>
        <w:widowControl w:val="0"/>
        <w:numPr>
          <w:ilvl w:val="0"/>
          <w:numId w:val="0"/>
        </w:numPr>
        <w:shd w:val="clear"/>
        <w:kinsoku/>
        <w:wordWrap/>
        <w:overflowPunct/>
        <w:topLinePunct w:val="0"/>
        <w:autoSpaceDE/>
        <w:autoSpaceDN/>
        <w:bidi w:val="0"/>
        <w:adjustRightInd/>
        <w:snapToGrid/>
        <w:spacing w:line="660" w:lineRule="exact"/>
        <w:ind w:firstLine="632" w:firstLineChars="200"/>
        <w:jc w:val="both"/>
        <w:textAlignment w:val="auto"/>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《清单》主要内容如下：</w:t>
      </w:r>
    </w:p>
    <w:p w14:paraId="7F03DAEE">
      <w:pPr>
        <w:keepNext w:val="0"/>
        <w:keepLines w:val="0"/>
        <w:pageBreakBefore w:val="0"/>
        <w:widowControl w:val="0"/>
        <w:numPr>
          <w:ilvl w:val="0"/>
          <w:numId w:val="0"/>
        </w:numPr>
        <w:shd w:val="clear"/>
        <w:kinsoku/>
        <w:wordWrap/>
        <w:overflowPunct/>
        <w:topLinePunct w:val="0"/>
        <w:autoSpaceDE/>
        <w:autoSpaceDN/>
        <w:bidi w:val="0"/>
        <w:adjustRightInd/>
        <w:snapToGrid/>
        <w:spacing w:line="660" w:lineRule="exact"/>
        <w:ind w:firstLine="632" w:firstLineChars="200"/>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（一）按现行城乡规划法律法规规定需要规划管理，但为了深化简政放权改革、落实相关政策要求，经研究免于办理建设工程规划许可证的项目清单，包括老旧小区住宅加装电梯、</w:t>
      </w:r>
      <w:r>
        <w:rPr>
          <w:rFonts w:hint="default" w:ascii="仿宋" w:hAnsi="仿宋" w:eastAsia="仿宋" w:cs="仿宋"/>
          <w:color w:val="000000" w:themeColor="text1"/>
          <w:sz w:val="32"/>
          <w:szCs w:val="32"/>
          <w:lang w:val="en-US" w:eastAsia="zh-CN"/>
          <w14:textFill>
            <w14:solidFill>
              <w14:schemeClr w14:val="tx1"/>
            </w14:solidFill>
          </w14:textFill>
        </w:rPr>
        <w:t>老旧小区微改造</w:t>
      </w:r>
      <w:r>
        <w:rPr>
          <w:rFonts w:hint="eastAsia" w:ascii="仿宋" w:hAnsi="仿宋" w:eastAsia="仿宋" w:cs="仿宋"/>
          <w:color w:val="000000" w:themeColor="text1"/>
          <w:sz w:val="32"/>
          <w:szCs w:val="32"/>
          <w:lang w:val="en-US" w:eastAsia="zh-CN"/>
          <w14:textFill>
            <w14:solidFill>
              <w14:schemeClr w14:val="tx1"/>
            </w14:solidFill>
          </w14:textFill>
        </w:rPr>
        <w:t>增设小型建设工程等。</w:t>
      </w:r>
    </w:p>
    <w:p w14:paraId="67744012">
      <w:pPr>
        <w:keepNext w:val="0"/>
        <w:keepLines w:val="0"/>
        <w:pageBreakBefore w:val="0"/>
        <w:widowControl w:val="0"/>
        <w:numPr>
          <w:ilvl w:val="0"/>
          <w:numId w:val="0"/>
        </w:numPr>
        <w:shd w:val="clear"/>
        <w:kinsoku/>
        <w:wordWrap/>
        <w:overflowPunct/>
        <w:topLinePunct w:val="0"/>
        <w:autoSpaceDE/>
        <w:autoSpaceDN/>
        <w:bidi w:val="0"/>
        <w:adjustRightInd/>
        <w:snapToGrid/>
        <w:spacing w:line="660" w:lineRule="exact"/>
        <w:ind w:firstLine="632" w:firstLineChars="200"/>
        <w:jc w:val="both"/>
        <w:textAlignment w:val="auto"/>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（二）为厘清规划管理范畴，按照现行城乡规划法律法规的规定，</w:t>
      </w:r>
      <w:r>
        <w:rPr>
          <w:rFonts w:hint="default" w:ascii="仿宋" w:hAnsi="仿宋" w:eastAsia="仿宋" w:cs="仿宋"/>
          <w:color w:val="000000" w:themeColor="text1"/>
          <w:sz w:val="32"/>
          <w:szCs w:val="32"/>
          <w:lang w:val="zh-TW" w:eastAsia="zh-CN"/>
          <w14:textFill>
            <w14:solidFill>
              <w14:schemeClr w14:val="tx1"/>
            </w14:solidFill>
          </w14:textFill>
        </w:rPr>
        <w:t>需</w:t>
      </w:r>
      <w:r>
        <w:rPr>
          <w:rFonts w:hint="eastAsia" w:ascii="仿宋" w:hAnsi="仿宋" w:eastAsia="仿宋" w:cs="仿宋"/>
          <w:color w:val="000000" w:themeColor="text1"/>
          <w:sz w:val="32"/>
          <w:szCs w:val="32"/>
          <w:lang w:val="zh-TW" w:eastAsia="zh-CN"/>
          <w14:textFill>
            <w14:solidFill>
              <w14:schemeClr w14:val="tx1"/>
            </w14:solidFill>
          </w14:textFill>
        </w:rPr>
        <w:t>相关</w:t>
      </w:r>
      <w:r>
        <w:rPr>
          <w:rFonts w:hint="default" w:ascii="仿宋" w:hAnsi="仿宋" w:eastAsia="仿宋" w:cs="仿宋"/>
          <w:color w:val="000000" w:themeColor="text1"/>
          <w:sz w:val="32"/>
          <w:szCs w:val="32"/>
          <w:lang w:val="zh-TW" w:eastAsia="zh-CN"/>
          <w14:textFill>
            <w14:solidFill>
              <w14:schemeClr w14:val="tx1"/>
            </w14:solidFill>
          </w14:textFill>
        </w:rPr>
        <w:t>行业主管部门根据职能职责监管</w:t>
      </w:r>
      <w:r>
        <w:rPr>
          <w:rFonts w:hint="eastAsia" w:ascii="仿宋" w:hAnsi="仿宋" w:eastAsia="仿宋" w:cs="仿宋"/>
          <w:color w:val="000000" w:themeColor="text1"/>
          <w:sz w:val="32"/>
          <w:szCs w:val="32"/>
          <w:lang w:val="zh-TW" w:eastAsia="zh-CN"/>
          <w14:textFill>
            <w14:solidFill>
              <w14:schemeClr w14:val="tx1"/>
            </w14:solidFill>
          </w14:textFill>
        </w:rPr>
        <w:t>、不属于规划管理的范畴，</w:t>
      </w:r>
      <w:r>
        <w:rPr>
          <w:rFonts w:hint="eastAsia" w:ascii="仿宋" w:hAnsi="仿宋" w:eastAsia="仿宋" w:cs="仿宋"/>
          <w:color w:val="000000" w:themeColor="text1"/>
          <w:sz w:val="32"/>
          <w:szCs w:val="32"/>
          <w:lang w:val="en-US" w:eastAsia="zh-CN"/>
          <w14:textFill>
            <w14:solidFill>
              <w14:schemeClr w14:val="tx1"/>
            </w14:solidFill>
          </w14:textFill>
        </w:rPr>
        <w:t>列出一批</w:t>
      </w:r>
      <w:r>
        <w:rPr>
          <w:rFonts w:hint="eastAsia" w:ascii="仿宋" w:hAnsi="仿宋" w:eastAsia="仿宋" w:cs="仿宋"/>
          <w:color w:val="000000" w:themeColor="text1"/>
          <w:sz w:val="32"/>
          <w:szCs w:val="32"/>
          <w:lang w:val="zh-TW" w:eastAsia="zh-CN"/>
          <w14:textFill>
            <w14:solidFill>
              <w14:schemeClr w14:val="tx1"/>
            </w14:solidFill>
          </w14:textFill>
        </w:rPr>
        <w:t>无需</w:t>
      </w:r>
      <w:r>
        <w:rPr>
          <w:rFonts w:hint="eastAsia" w:ascii="仿宋" w:hAnsi="仿宋" w:eastAsia="仿宋" w:cs="仿宋"/>
          <w:color w:val="000000" w:themeColor="text1"/>
          <w:sz w:val="32"/>
          <w:szCs w:val="32"/>
          <w:lang w:val="en-US" w:eastAsia="zh-CN"/>
          <w14:textFill>
            <w14:solidFill>
              <w14:schemeClr w14:val="tx1"/>
            </w14:solidFill>
          </w14:textFill>
        </w:rPr>
        <w:t>向自然资源规划部门申请办理建设工程</w:t>
      </w:r>
      <w:r>
        <w:rPr>
          <w:rFonts w:hint="eastAsia" w:ascii="仿宋" w:hAnsi="仿宋" w:eastAsia="仿宋" w:cs="仿宋"/>
          <w:color w:val="000000" w:themeColor="text1"/>
          <w:sz w:val="32"/>
          <w:szCs w:val="32"/>
          <w:lang w:val="zh-TW" w:eastAsia="zh-CN"/>
          <w14:textFill>
            <w14:solidFill>
              <w14:schemeClr w14:val="tx1"/>
            </w14:solidFill>
          </w14:textFill>
        </w:rPr>
        <w:t>规划许可</w:t>
      </w:r>
      <w:r>
        <w:rPr>
          <w:rFonts w:hint="eastAsia" w:ascii="仿宋" w:hAnsi="仿宋" w:eastAsia="仿宋" w:cs="仿宋"/>
          <w:color w:val="000000" w:themeColor="text1"/>
          <w:sz w:val="32"/>
          <w:szCs w:val="32"/>
          <w:lang w:val="en-US" w:eastAsia="zh-CN"/>
          <w14:textFill>
            <w14:solidFill>
              <w14:schemeClr w14:val="tx1"/>
            </w14:solidFill>
          </w14:textFill>
        </w:rPr>
        <w:t>证的项目清单，如老百姓常见的</w:t>
      </w:r>
      <w:r>
        <w:rPr>
          <w:rFonts w:hint="default" w:ascii="仿宋" w:hAnsi="仿宋" w:eastAsia="仿宋" w:cs="仿宋"/>
          <w:color w:val="000000" w:themeColor="text1"/>
          <w:sz w:val="32"/>
          <w:szCs w:val="32"/>
          <w:lang w:val="en-US" w:eastAsia="zh-CN"/>
          <w14:textFill>
            <w14:solidFill>
              <w14:schemeClr w14:val="tx1"/>
            </w14:solidFill>
          </w14:textFill>
        </w:rPr>
        <w:t>花架、</w:t>
      </w:r>
      <w:r>
        <w:rPr>
          <w:rFonts w:hint="eastAsia" w:ascii="仿宋" w:hAnsi="仿宋" w:eastAsia="仿宋" w:cs="仿宋"/>
          <w:color w:val="000000" w:themeColor="text1"/>
          <w:sz w:val="32"/>
          <w:szCs w:val="32"/>
          <w:lang w:val="en-US" w:eastAsia="zh-CN"/>
          <w14:textFill>
            <w14:solidFill>
              <w14:schemeClr w14:val="tx1"/>
            </w14:solidFill>
          </w14:textFill>
        </w:rPr>
        <w:t>空调架、</w:t>
      </w:r>
      <w:r>
        <w:rPr>
          <w:rFonts w:hint="default" w:ascii="仿宋" w:hAnsi="仿宋" w:eastAsia="仿宋" w:cs="仿宋"/>
          <w:color w:val="000000" w:themeColor="text1"/>
          <w:sz w:val="32"/>
          <w:szCs w:val="32"/>
          <w:lang w:val="en-US" w:eastAsia="zh-CN"/>
          <w14:textFill>
            <w14:solidFill>
              <w14:schemeClr w14:val="tx1"/>
            </w14:solidFill>
          </w14:textFill>
        </w:rPr>
        <w:t>晾衣架</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default" w:ascii="仿宋" w:hAnsi="仿宋" w:eastAsia="仿宋" w:cs="仿宋"/>
          <w:color w:val="000000" w:themeColor="text1"/>
          <w:sz w:val="32"/>
          <w:szCs w:val="32"/>
          <w:lang w:val="zh-TW" w:eastAsia="zh-CN"/>
          <w14:textFill>
            <w14:solidFill>
              <w14:schemeClr w14:val="tx1"/>
            </w14:solidFill>
          </w14:textFill>
        </w:rPr>
        <w:t>防盗窗</w:t>
      </w:r>
      <w:r>
        <w:rPr>
          <w:rFonts w:hint="eastAsia" w:ascii="仿宋" w:hAnsi="仿宋" w:eastAsia="仿宋" w:cs="仿宋"/>
          <w:color w:val="000000" w:themeColor="text1"/>
          <w:sz w:val="32"/>
          <w:szCs w:val="32"/>
          <w:lang w:val="en-US" w:eastAsia="zh-CN"/>
          <w14:textFill>
            <w14:solidFill>
              <w14:schemeClr w14:val="tx1"/>
            </w14:solidFill>
          </w14:textFill>
        </w:rPr>
        <w:t>或防盗网等建筑外立面设施，在城市街道、广场、公园、滨水空间等城市公共空间中经相关主管部门批准设置的城市家具等。</w:t>
      </w:r>
    </w:p>
    <w:p w14:paraId="33E18B0E">
      <w:pPr>
        <w:keepNext w:val="0"/>
        <w:keepLines w:val="0"/>
        <w:pageBreakBefore w:val="0"/>
        <w:widowControl w:val="0"/>
        <w:numPr>
          <w:ilvl w:val="0"/>
          <w:numId w:val="0"/>
        </w:numPr>
        <w:shd w:val="clear"/>
        <w:kinsoku/>
        <w:wordWrap/>
        <w:overflowPunct/>
        <w:topLinePunct w:val="0"/>
        <w:autoSpaceDE/>
        <w:autoSpaceDN/>
        <w:bidi w:val="0"/>
        <w:adjustRightInd/>
        <w:snapToGrid/>
        <w:spacing w:line="660" w:lineRule="exact"/>
        <w:ind w:left="313" w:leftChars="152" w:firstLine="316" w:firstLineChars="100"/>
        <w:jc w:val="both"/>
        <w:textAlignment w:val="auto"/>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（三）阐明了“</w:t>
      </w:r>
      <w:r>
        <w:rPr>
          <w:rFonts w:hint="default" w:ascii="仿宋" w:hAnsi="仿宋" w:eastAsia="仿宋" w:cs="仿宋"/>
          <w:color w:val="000000" w:themeColor="text1"/>
          <w:sz w:val="32"/>
          <w:szCs w:val="32"/>
          <w:lang w:val="en-US" w:eastAsia="zh-CN"/>
          <w14:textFill>
            <w14:solidFill>
              <w14:schemeClr w14:val="tx1"/>
            </w14:solidFill>
          </w14:textFill>
        </w:rPr>
        <w:t>免于办理</w:t>
      </w:r>
      <w:r>
        <w:rPr>
          <w:rFonts w:hint="eastAsia" w:ascii="仿宋" w:hAnsi="仿宋" w:eastAsia="仿宋" w:cs="仿宋"/>
          <w:color w:val="000000" w:themeColor="text1"/>
          <w:sz w:val="32"/>
          <w:szCs w:val="32"/>
          <w:lang w:val="en-US" w:eastAsia="zh-CN"/>
          <w14:textFill>
            <w14:solidFill>
              <w14:schemeClr w14:val="tx1"/>
            </w14:solidFill>
          </w14:textFill>
        </w:rPr>
        <w:t>”和“</w:t>
      </w:r>
      <w:r>
        <w:rPr>
          <w:rFonts w:hint="default" w:ascii="仿宋" w:hAnsi="仿宋" w:eastAsia="仿宋" w:cs="仿宋"/>
          <w:color w:val="000000" w:themeColor="text1"/>
          <w:sz w:val="32"/>
          <w:szCs w:val="32"/>
          <w:lang w:val="en-US" w:eastAsia="zh-CN"/>
          <w14:textFill>
            <w14:solidFill>
              <w14:schemeClr w14:val="tx1"/>
            </w14:solidFill>
          </w14:textFill>
        </w:rPr>
        <w:t>无需办理</w:t>
      </w:r>
      <w:r>
        <w:rPr>
          <w:rFonts w:hint="eastAsia" w:ascii="仿宋" w:hAnsi="仿宋" w:eastAsia="仿宋" w:cs="仿宋"/>
          <w:color w:val="000000" w:themeColor="text1"/>
          <w:sz w:val="32"/>
          <w:szCs w:val="32"/>
          <w:lang w:val="en-US" w:eastAsia="zh-CN"/>
          <w14:textFill>
            <w14:solidFill>
              <w14:schemeClr w14:val="tx1"/>
            </w14:solidFill>
          </w14:textFill>
        </w:rPr>
        <w:t>”豁免类型术语。</w:t>
      </w:r>
    </w:p>
    <w:p w14:paraId="12D0722A">
      <w:pPr>
        <w:keepNext w:val="0"/>
        <w:keepLines w:val="0"/>
        <w:pageBreakBefore w:val="0"/>
        <w:widowControl w:val="0"/>
        <w:numPr>
          <w:ilvl w:val="0"/>
          <w:numId w:val="0"/>
        </w:numPr>
        <w:shd w:val="clear"/>
        <w:kinsoku/>
        <w:wordWrap/>
        <w:overflowPunct/>
        <w:topLinePunct w:val="0"/>
        <w:autoSpaceDE/>
        <w:autoSpaceDN/>
        <w:bidi w:val="0"/>
        <w:adjustRightInd/>
        <w:snapToGrid/>
        <w:spacing w:line="660" w:lineRule="exact"/>
        <w:ind w:firstLine="632" w:firstLineChars="200"/>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（四）明确监管职能。根据建设工程规划许可“全过程监管”的要求，明确了“免批不免责”的监管模式。《清单》对</w:t>
      </w:r>
      <w:r>
        <w:rPr>
          <w:rFonts w:hint="default" w:ascii="仿宋" w:hAnsi="仿宋" w:eastAsia="仿宋" w:cs="仿宋"/>
          <w:color w:val="000000" w:themeColor="text1"/>
          <w:sz w:val="32"/>
          <w:szCs w:val="32"/>
          <w:lang w:val="en-US" w:eastAsia="zh-CN"/>
          <w14:textFill>
            <w14:solidFill>
              <w14:schemeClr w14:val="tx1"/>
            </w14:solidFill>
          </w14:textFill>
        </w:rPr>
        <w:t>建设主体的责任义务等进行了明确，规定列入建设工程规划许可豁免清单的建设项目，建设单位（或个人）在建设中应遵循</w:t>
      </w:r>
      <w:r>
        <w:rPr>
          <w:rFonts w:hint="eastAsia" w:ascii="仿宋" w:hAnsi="仿宋" w:eastAsia="仿宋" w:cs="仿宋"/>
          <w:color w:val="000000" w:themeColor="text1"/>
          <w:sz w:val="32"/>
          <w:szCs w:val="32"/>
          <w:lang w:val="en-US" w:eastAsia="zh-CN"/>
          <w14:textFill>
            <w14:solidFill>
              <w14:schemeClr w14:val="tx1"/>
            </w14:solidFill>
          </w14:textFill>
        </w:rPr>
        <w:t>符合法定规划、</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《中华人民共和国民法典》</w:t>
      </w:r>
      <w:r>
        <w:rPr>
          <w:rFonts w:hint="default" w:ascii="仿宋" w:hAnsi="仿宋" w:eastAsia="仿宋" w:cs="仿宋"/>
          <w:color w:val="000000" w:themeColor="text1"/>
          <w:sz w:val="32"/>
          <w:szCs w:val="32"/>
          <w:lang w:val="en-US" w:eastAsia="zh-CN"/>
          <w14:textFill>
            <w14:solidFill>
              <w14:schemeClr w14:val="tx1"/>
            </w14:solidFill>
          </w14:textFill>
        </w:rPr>
        <w:t>有关物权</w:t>
      </w:r>
      <w:r>
        <w:rPr>
          <w:rFonts w:hint="eastAsia" w:ascii="仿宋" w:hAnsi="仿宋" w:eastAsia="仿宋" w:cs="仿宋"/>
          <w:color w:val="000000" w:themeColor="text1"/>
          <w:sz w:val="32"/>
          <w:szCs w:val="32"/>
          <w:lang w:val="en-US" w:eastAsia="zh-CN"/>
          <w14:textFill>
            <w14:solidFill>
              <w14:schemeClr w14:val="tx1"/>
            </w14:solidFill>
          </w14:textFill>
        </w:rPr>
        <w:t>等</w:t>
      </w:r>
      <w:r>
        <w:rPr>
          <w:rFonts w:hint="default" w:ascii="仿宋" w:hAnsi="仿宋" w:eastAsia="仿宋" w:cs="仿宋"/>
          <w:color w:val="000000" w:themeColor="text1"/>
          <w:sz w:val="32"/>
          <w:szCs w:val="32"/>
          <w:lang w:val="en-US" w:eastAsia="zh-CN"/>
          <w14:textFill>
            <w14:solidFill>
              <w14:schemeClr w14:val="tx1"/>
            </w14:solidFill>
          </w14:textFill>
        </w:rPr>
        <w:t>相关法律法规</w:t>
      </w:r>
      <w:r>
        <w:rPr>
          <w:rFonts w:hint="eastAsia" w:ascii="仿宋" w:hAnsi="仿宋" w:eastAsia="仿宋" w:cs="仿宋"/>
          <w:color w:val="000000" w:themeColor="text1"/>
          <w:sz w:val="32"/>
          <w:szCs w:val="32"/>
          <w:lang w:val="en-US" w:eastAsia="zh-CN"/>
          <w14:textFill>
            <w14:solidFill>
              <w14:schemeClr w14:val="tx1"/>
            </w14:solidFill>
          </w14:textFill>
        </w:rPr>
        <w:t>规定、</w:t>
      </w:r>
      <w:r>
        <w:rPr>
          <w:rFonts w:hint="default" w:ascii="仿宋" w:hAnsi="仿宋" w:eastAsia="仿宋" w:cs="仿宋"/>
          <w:color w:val="000000" w:themeColor="text1"/>
          <w:sz w:val="32"/>
          <w:szCs w:val="32"/>
          <w:lang w:val="en-US" w:eastAsia="zh-CN"/>
          <w14:textFill>
            <w14:solidFill>
              <w14:schemeClr w14:val="tx1"/>
            </w14:solidFill>
          </w14:textFill>
        </w:rPr>
        <w:t>相关</w:t>
      </w:r>
      <w:r>
        <w:rPr>
          <w:rFonts w:hint="eastAsia" w:ascii="仿宋" w:hAnsi="仿宋" w:eastAsia="仿宋" w:cs="仿宋"/>
          <w:color w:val="000000" w:themeColor="text1"/>
          <w:sz w:val="32"/>
          <w:szCs w:val="32"/>
          <w:lang w:val="en-US" w:eastAsia="zh-CN"/>
          <w14:textFill>
            <w14:solidFill>
              <w14:schemeClr w14:val="tx1"/>
            </w14:solidFill>
          </w14:textFill>
        </w:rPr>
        <w:t>技术</w:t>
      </w:r>
      <w:r>
        <w:rPr>
          <w:rFonts w:hint="default" w:ascii="仿宋" w:hAnsi="仿宋" w:eastAsia="仿宋" w:cs="仿宋"/>
          <w:color w:val="000000" w:themeColor="text1"/>
          <w:sz w:val="32"/>
          <w:szCs w:val="32"/>
          <w:lang w:val="en-US" w:eastAsia="zh-CN"/>
          <w14:textFill>
            <w14:solidFill>
              <w14:schemeClr w14:val="tx1"/>
            </w14:solidFill>
          </w14:textFill>
        </w:rPr>
        <w:t>标准和规范要求</w:t>
      </w:r>
      <w:r>
        <w:rPr>
          <w:rFonts w:hint="eastAsia" w:ascii="仿宋" w:hAnsi="仿宋" w:eastAsia="仿宋" w:cs="仿宋"/>
          <w:color w:val="000000" w:themeColor="text1"/>
          <w:sz w:val="32"/>
          <w:szCs w:val="32"/>
          <w:lang w:val="en-US" w:eastAsia="zh-CN"/>
          <w14:textFill>
            <w14:solidFill>
              <w14:schemeClr w14:val="tx1"/>
            </w14:solidFill>
          </w14:textFill>
        </w:rPr>
        <w:t>及</w:t>
      </w:r>
      <w:r>
        <w:rPr>
          <w:rFonts w:hint="default" w:ascii="仿宋" w:hAnsi="仿宋" w:eastAsia="仿宋" w:cs="仿宋"/>
          <w:color w:val="000000" w:themeColor="text1"/>
          <w:sz w:val="32"/>
          <w:szCs w:val="32"/>
          <w:lang w:val="en-US" w:eastAsia="zh-CN"/>
          <w14:textFill>
            <w14:solidFill>
              <w14:schemeClr w14:val="tx1"/>
            </w14:solidFill>
          </w14:textFill>
        </w:rPr>
        <w:t>不</w:t>
      </w:r>
      <w:r>
        <w:rPr>
          <w:rFonts w:hint="eastAsia" w:ascii="仿宋" w:hAnsi="仿宋" w:eastAsia="仿宋" w:cs="仿宋"/>
          <w:color w:val="000000" w:themeColor="text1"/>
          <w:sz w:val="32"/>
          <w:szCs w:val="32"/>
          <w:lang w:val="en-US" w:eastAsia="zh-CN"/>
          <w14:textFill>
            <w14:solidFill>
              <w14:schemeClr w14:val="tx1"/>
            </w14:solidFill>
          </w14:textFill>
        </w:rPr>
        <w:t>得</w:t>
      </w:r>
      <w:r>
        <w:rPr>
          <w:rFonts w:hint="default" w:ascii="仿宋" w:hAnsi="仿宋" w:eastAsia="仿宋" w:cs="仿宋"/>
          <w:color w:val="000000" w:themeColor="text1"/>
          <w:sz w:val="32"/>
          <w:szCs w:val="32"/>
          <w:lang w:val="en-US" w:eastAsia="zh-CN"/>
          <w14:textFill>
            <w14:solidFill>
              <w14:schemeClr w14:val="tx1"/>
            </w14:solidFill>
          </w14:textFill>
        </w:rPr>
        <w:t>损害相关利害关系人的合法权益</w:t>
      </w:r>
      <w:r>
        <w:rPr>
          <w:rFonts w:hint="eastAsia" w:ascii="仿宋" w:hAnsi="仿宋" w:eastAsia="仿宋" w:cs="仿宋"/>
          <w:color w:val="000000" w:themeColor="text1"/>
          <w:sz w:val="32"/>
          <w:szCs w:val="32"/>
          <w:lang w:val="en-US" w:eastAsia="zh-CN"/>
          <w14:textFill>
            <w14:solidFill>
              <w14:schemeClr w14:val="tx1"/>
            </w14:solidFill>
          </w14:textFill>
        </w:rPr>
        <w:t>等前提条件。文件同时还明确了</w:t>
      </w:r>
      <w:r>
        <w:rPr>
          <w:rFonts w:hint="default" w:ascii="仿宋" w:hAnsi="仿宋" w:eastAsia="仿宋" w:cs="仿宋"/>
          <w:color w:val="000000" w:themeColor="text1"/>
          <w:sz w:val="32"/>
          <w:szCs w:val="32"/>
          <w:lang w:val="en-US" w:eastAsia="zh-CN"/>
          <w14:textFill>
            <w14:solidFill>
              <w14:schemeClr w14:val="tx1"/>
            </w14:solidFill>
          </w14:textFill>
        </w:rPr>
        <w:t>自然资源</w:t>
      </w:r>
      <w:r>
        <w:rPr>
          <w:rFonts w:hint="eastAsia" w:ascii="仿宋" w:hAnsi="仿宋" w:eastAsia="仿宋" w:cs="仿宋"/>
          <w:color w:val="000000" w:themeColor="text1"/>
          <w:sz w:val="32"/>
          <w:szCs w:val="32"/>
          <w:lang w:val="en-US" w:eastAsia="zh-CN"/>
          <w14:textFill>
            <w14:solidFill>
              <w14:schemeClr w14:val="tx1"/>
            </w14:solidFill>
          </w14:textFill>
        </w:rPr>
        <w:t>和</w:t>
      </w:r>
      <w:r>
        <w:rPr>
          <w:rFonts w:hint="default" w:ascii="仿宋" w:hAnsi="仿宋" w:eastAsia="仿宋" w:cs="仿宋"/>
          <w:color w:val="000000" w:themeColor="text1"/>
          <w:sz w:val="32"/>
          <w:szCs w:val="32"/>
          <w:lang w:val="en-US" w:eastAsia="zh-CN"/>
          <w14:textFill>
            <w14:solidFill>
              <w14:schemeClr w14:val="tx1"/>
            </w14:solidFill>
          </w14:textFill>
        </w:rPr>
        <w:t>规划</w:t>
      </w:r>
      <w:r>
        <w:rPr>
          <w:rFonts w:hint="eastAsia" w:ascii="仿宋" w:hAnsi="仿宋" w:eastAsia="仿宋" w:cs="仿宋"/>
          <w:color w:val="000000" w:themeColor="text1"/>
          <w:sz w:val="32"/>
          <w:szCs w:val="32"/>
          <w:lang w:val="en-US" w:eastAsia="zh-CN"/>
          <w14:textFill>
            <w14:solidFill>
              <w14:schemeClr w14:val="tx1"/>
            </w14:solidFill>
          </w14:textFill>
        </w:rPr>
        <w:t>部门、相关行业主管部门和属地街道办事处或乡镇人民政府应根据各自职责实施履行监管责任。</w:t>
      </w:r>
    </w:p>
    <w:p w14:paraId="2A522AF7">
      <w:pPr>
        <w:keepNext w:val="0"/>
        <w:keepLines w:val="0"/>
        <w:pageBreakBefore w:val="0"/>
        <w:widowControl w:val="0"/>
        <w:numPr>
          <w:ilvl w:val="0"/>
          <w:numId w:val="0"/>
        </w:numPr>
        <w:shd w:val="clear"/>
        <w:kinsoku/>
        <w:wordWrap/>
        <w:overflowPunct/>
        <w:topLinePunct w:val="0"/>
        <w:autoSpaceDE/>
        <w:autoSpaceDN/>
        <w:bidi w:val="0"/>
        <w:adjustRightInd/>
        <w:snapToGrid/>
        <w:spacing w:line="660" w:lineRule="exact"/>
        <w:jc w:val="left"/>
        <w:textAlignment w:val="auto"/>
        <w:rPr>
          <w:rFonts w:hint="default" w:ascii="仿宋" w:hAnsi="仿宋" w:eastAsia="仿宋" w:cs="仿宋"/>
          <w:color w:val="000000" w:themeColor="text1"/>
          <w:sz w:val="32"/>
          <w:szCs w:val="32"/>
          <w:lang w:val="en-US" w:eastAsia="zh-CN"/>
          <w14:textFill>
            <w14:solidFill>
              <w14:schemeClr w14:val="tx1"/>
            </w14:solidFill>
          </w14:textFill>
        </w:rPr>
      </w:pPr>
      <w:bookmarkStart w:id="0" w:name="_GoBack"/>
      <w:bookmarkEnd w:id="0"/>
    </w:p>
    <w:sectPr>
      <w:footerReference r:id="rId3" w:type="default"/>
      <w:footerReference r:id="rId4" w:type="even"/>
      <w:footnotePr>
        <w:numRestart w:val="eachPage"/>
      </w:footnotePr>
      <w:pgSz w:w="11906" w:h="16838"/>
      <w:pgMar w:top="1361" w:right="1474" w:bottom="1474" w:left="1588" w:header="851" w:footer="794" w:gutter="0"/>
      <w:pgNumType w:start="1"/>
      <w:cols w:space="720" w:num="1"/>
      <w:titlePg/>
      <w:docGrid w:type="linesAndChars" w:linePitch="587"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88"/>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小标宋_GBK">
    <w:panose1 w:val="02000000000000000000"/>
    <w:charset w:val="86"/>
    <w:family w:val="auto"/>
    <w:pitch w:val="default"/>
    <w:sig w:usb0="00000001" w:usb1="08000000" w:usb2="00000000" w:usb3="00000000" w:csb0="00040000" w:csb1="00000000"/>
  </w:font>
  <w:font w:name="国标黑体">
    <w:panose1 w:val="020005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283842">
    <w:pPr>
      <w:pStyle w:val="7"/>
      <w:framePr w:wrap="around" w:vAnchor="text" w:hAnchor="margin" w:xAlign="inside" w:y="1"/>
      <w:ind w:right="360" w:firstLine="360"/>
      <w:rPr>
        <w:rStyle w:val="15"/>
        <w:rFonts w:hint="eastAsia"/>
      </w:rPr>
    </w:pPr>
  </w:p>
  <w:p w14:paraId="16644FB1">
    <w:pPr>
      <w:pStyle w:val="7"/>
      <w:ind w:right="360" w:firstLine="7560" w:firstLineChars="2700"/>
      <w:jc w:val="right"/>
      <w:rPr>
        <w:rFonts w:hint="eastAsia" w:ascii="仿宋_GB2312" w:eastAsia="仿宋_GB2312"/>
        <w:sz w:val="28"/>
      </w:rPr>
    </w:pPr>
    <w:r>
      <w:rPr>
        <w:rFonts w:ascii="仿宋_GB2312" w:eastAsia="仿宋_GB2312"/>
        <w:kern w:val="0"/>
        <w:sz w:val="28"/>
        <w:szCs w:val="21"/>
      </w:rPr>
      <w:t xml:space="preserve">- </w:t>
    </w:r>
    <w:r>
      <w:rPr>
        <w:rFonts w:ascii="仿宋_GB2312" w:eastAsia="仿宋_GB2312"/>
        <w:kern w:val="0"/>
        <w:sz w:val="28"/>
        <w:szCs w:val="21"/>
      </w:rPr>
      <w:fldChar w:fldCharType="begin"/>
    </w:r>
    <w:r>
      <w:rPr>
        <w:rFonts w:ascii="仿宋_GB2312" w:eastAsia="仿宋_GB2312"/>
        <w:kern w:val="0"/>
        <w:sz w:val="28"/>
        <w:szCs w:val="21"/>
      </w:rPr>
      <w:instrText xml:space="preserve"> PAGE </w:instrText>
    </w:r>
    <w:r>
      <w:rPr>
        <w:rFonts w:ascii="仿宋_GB2312" w:eastAsia="仿宋_GB2312"/>
        <w:kern w:val="0"/>
        <w:sz w:val="28"/>
        <w:szCs w:val="21"/>
      </w:rPr>
      <w:fldChar w:fldCharType="separate"/>
    </w:r>
    <w:r>
      <w:rPr>
        <w:rFonts w:ascii="仿宋_GB2312" w:eastAsia="仿宋_GB2312"/>
        <w:kern w:val="0"/>
        <w:sz w:val="28"/>
        <w:szCs w:val="21"/>
      </w:rPr>
      <w:t>3</w:t>
    </w:r>
    <w:r>
      <w:rPr>
        <w:rFonts w:ascii="仿宋_GB2312" w:eastAsia="仿宋_GB2312"/>
        <w:kern w:val="0"/>
        <w:sz w:val="28"/>
        <w:szCs w:val="21"/>
      </w:rPr>
      <w:fldChar w:fldCharType="end"/>
    </w:r>
    <w:r>
      <w:rPr>
        <w:rFonts w:ascii="仿宋_GB2312" w:eastAsia="仿宋_GB2312"/>
        <w:kern w:val="0"/>
        <w:sz w:val="28"/>
        <w:szCs w:val="21"/>
      </w:rPr>
      <w:t xml:space="preserve"> -</w:t>
    </w:r>
  </w:p>
  <w:p w14:paraId="6621B291">
    <w:pPr>
      <w:pStyle w:val="7"/>
      <w:ind w:right="360" w:firstLine="4860" w:firstLineChars="2700"/>
      <w:jc w:val="right"/>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463962">
    <w:pPr>
      <w:pStyle w:val="7"/>
      <w:framePr w:wrap="around" w:vAnchor="text" w:hAnchor="margin" w:xAlign="inside" w:y="1"/>
      <w:ind w:right="360" w:firstLine="280" w:firstLineChars="100"/>
      <w:jc w:val="both"/>
      <w:rPr>
        <w:rStyle w:val="15"/>
        <w:rFonts w:ascii="仿宋_GB2312" w:eastAsia="仿宋_GB2312"/>
        <w:sz w:val="28"/>
      </w:rPr>
    </w:pPr>
    <w:r>
      <w:rPr>
        <w:rStyle w:val="15"/>
        <w:rFonts w:ascii="仿宋_GB2312" w:eastAsia="仿宋_GB2312"/>
        <w:kern w:val="0"/>
        <w:sz w:val="28"/>
        <w:szCs w:val="21"/>
      </w:rPr>
      <w:t xml:space="preserve">- </w:t>
    </w:r>
    <w:r>
      <w:rPr>
        <w:rStyle w:val="15"/>
        <w:rFonts w:ascii="仿宋_GB2312" w:eastAsia="仿宋_GB2312"/>
        <w:kern w:val="0"/>
        <w:sz w:val="28"/>
        <w:szCs w:val="21"/>
      </w:rPr>
      <w:fldChar w:fldCharType="begin"/>
    </w:r>
    <w:r>
      <w:rPr>
        <w:rStyle w:val="15"/>
        <w:rFonts w:ascii="仿宋_GB2312" w:eastAsia="仿宋_GB2312"/>
        <w:kern w:val="0"/>
        <w:sz w:val="28"/>
        <w:szCs w:val="21"/>
      </w:rPr>
      <w:instrText xml:space="preserve"> PAGE </w:instrText>
    </w:r>
    <w:r>
      <w:rPr>
        <w:rStyle w:val="15"/>
        <w:rFonts w:ascii="仿宋_GB2312" w:eastAsia="仿宋_GB2312"/>
        <w:kern w:val="0"/>
        <w:sz w:val="28"/>
        <w:szCs w:val="21"/>
      </w:rPr>
      <w:fldChar w:fldCharType="separate"/>
    </w:r>
    <w:r>
      <w:rPr>
        <w:rStyle w:val="15"/>
        <w:rFonts w:ascii="仿宋_GB2312" w:eastAsia="仿宋_GB2312"/>
        <w:kern w:val="0"/>
        <w:sz w:val="28"/>
        <w:szCs w:val="21"/>
      </w:rPr>
      <w:t>2</w:t>
    </w:r>
    <w:r>
      <w:rPr>
        <w:rStyle w:val="15"/>
        <w:rFonts w:ascii="仿宋_GB2312" w:eastAsia="仿宋_GB2312"/>
        <w:kern w:val="0"/>
        <w:sz w:val="28"/>
        <w:szCs w:val="21"/>
      </w:rPr>
      <w:fldChar w:fldCharType="end"/>
    </w:r>
    <w:r>
      <w:rPr>
        <w:rStyle w:val="15"/>
        <w:rFonts w:ascii="仿宋_GB2312" w:eastAsia="仿宋_GB2312"/>
        <w:kern w:val="0"/>
        <w:sz w:val="28"/>
        <w:szCs w:val="21"/>
      </w:rPr>
      <w:t xml:space="preserve"> -</w:t>
    </w:r>
  </w:p>
  <w:p w14:paraId="67D1D5EE">
    <w:pPr>
      <w:pStyle w:val="7"/>
      <w:framePr w:wrap="around" w:vAnchor="text" w:hAnchor="margin" w:xAlign="inside" w:y="1"/>
      <w:ind w:right="360" w:firstLine="360"/>
      <w:rPr>
        <w:rStyle w:val="15"/>
        <w:rFonts w:hint="eastAsia"/>
      </w:rPr>
    </w:pPr>
  </w:p>
  <w:p w14:paraId="1CAC38B2">
    <w:pPr>
      <w:pStyle w:val="7"/>
      <w:ind w:right="360" w:firstLine="360"/>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F79909"/>
    <w:multiLevelType w:val="singleLevel"/>
    <w:tmpl w:val="DFF79909"/>
    <w:lvl w:ilvl="0" w:tentative="0">
      <w:start w:val="1"/>
      <w:numFmt w:val="chineseCounting"/>
      <w:suff w:val="nothing"/>
      <w:lvlText w:val="%1、"/>
      <w:lvlJc w:val="left"/>
      <w:rPr>
        <w:rFonts w:hint="eastAsia"/>
      </w:rPr>
    </w:lvl>
  </w:abstractNum>
  <w:abstractNum w:abstractNumId="1">
    <w:nsid w:val="E0370FF5"/>
    <w:multiLevelType w:val="singleLevel"/>
    <w:tmpl w:val="E0370FF5"/>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835AF"/>
    <w:rsid w:val="01B00680"/>
    <w:rsid w:val="091C58E3"/>
    <w:rsid w:val="092D577C"/>
    <w:rsid w:val="09441C08"/>
    <w:rsid w:val="09C9704D"/>
    <w:rsid w:val="0A05611E"/>
    <w:rsid w:val="0BE718CA"/>
    <w:rsid w:val="0E382131"/>
    <w:rsid w:val="0F312DD9"/>
    <w:rsid w:val="0FDFF0A3"/>
    <w:rsid w:val="10417A9D"/>
    <w:rsid w:val="151E36E7"/>
    <w:rsid w:val="16F57833"/>
    <w:rsid w:val="19FB6E8C"/>
    <w:rsid w:val="1AAF5B61"/>
    <w:rsid w:val="1CB05D8E"/>
    <w:rsid w:val="222914B2"/>
    <w:rsid w:val="229C3BC0"/>
    <w:rsid w:val="24B06F3C"/>
    <w:rsid w:val="262B496F"/>
    <w:rsid w:val="27FE5367"/>
    <w:rsid w:val="297168A5"/>
    <w:rsid w:val="29C457AD"/>
    <w:rsid w:val="2A8476FC"/>
    <w:rsid w:val="2AD406CA"/>
    <w:rsid w:val="2BF7798D"/>
    <w:rsid w:val="2C06524A"/>
    <w:rsid w:val="2CCF6918"/>
    <w:rsid w:val="2FEF1445"/>
    <w:rsid w:val="30A24E15"/>
    <w:rsid w:val="32A45FA2"/>
    <w:rsid w:val="34E21316"/>
    <w:rsid w:val="355BD614"/>
    <w:rsid w:val="37B24C58"/>
    <w:rsid w:val="37BF4022"/>
    <w:rsid w:val="37C74814"/>
    <w:rsid w:val="37F79D3C"/>
    <w:rsid w:val="38A50319"/>
    <w:rsid w:val="3C473819"/>
    <w:rsid w:val="3D756D58"/>
    <w:rsid w:val="3DDBDA16"/>
    <w:rsid w:val="3E7D80AD"/>
    <w:rsid w:val="3E876575"/>
    <w:rsid w:val="3ED8A29E"/>
    <w:rsid w:val="3EFE2C9C"/>
    <w:rsid w:val="3F5A9312"/>
    <w:rsid w:val="3FCF6ACD"/>
    <w:rsid w:val="3FDECAF0"/>
    <w:rsid w:val="40DB762B"/>
    <w:rsid w:val="45143952"/>
    <w:rsid w:val="45A7F094"/>
    <w:rsid w:val="465E0506"/>
    <w:rsid w:val="466E5DC6"/>
    <w:rsid w:val="4916594F"/>
    <w:rsid w:val="491C05A0"/>
    <w:rsid w:val="49636EBF"/>
    <w:rsid w:val="4B3F4447"/>
    <w:rsid w:val="4E266698"/>
    <w:rsid w:val="4E554D82"/>
    <w:rsid w:val="4EBFAD34"/>
    <w:rsid w:val="4FBEB297"/>
    <w:rsid w:val="51CC267A"/>
    <w:rsid w:val="51F56358"/>
    <w:rsid w:val="533CF40E"/>
    <w:rsid w:val="53FF4FFA"/>
    <w:rsid w:val="56306A8D"/>
    <w:rsid w:val="57B131A4"/>
    <w:rsid w:val="5A2C5F68"/>
    <w:rsid w:val="5BBE4716"/>
    <w:rsid w:val="5DF64A39"/>
    <w:rsid w:val="5DFD198C"/>
    <w:rsid w:val="5DFFDE04"/>
    <w:rsid w:val="5F6E27EE"/>
    <w:rsid w:val="5FFFDB55"/>
    <w:rsid w:val="60C079CB"/>
    <w:rsid w:val="60FF5443"/>
    <w:rsid w:val="646E3E3C"/>
    <w:rsid w:val="656C5B97"/>
    <w:rsid w:val="65FF891C"/>
    <w:rsid w:val="672B20AE"/>
    <w:rsid w:val="67EFC695"/>
    <w:rsid w:val="695A6E96"/>
    <w:rsid w:val="6A8C1020"/>
    <w:rsid w:val="6B7E048B"/>
    <w:rsid w:val="6C78705C"/>
    <w:rsid w:val="6DBF2903"/>
    <w:rsid w:val="6DFAF0CF"/>
    <w:rsid w:val="6ED980BC"/>
    <w:rsid w:val="6EE277C1"/>
    <w:rsid w:val="6FBA6F35"/>
    <w:rsid w:val="6FBDCD3B"/>
    <w:rsid w:val="717FAC2F"/>
    <w:rsid w:val="718FBA6B"/>
    <w:rsid w:val="724A0F10"/>
    <w:rsid w:val="73790356"/>
    <w:rsid w:val="73DD8506"/>
    <w:rsid w:val="73E99916"/>
    <w:rsid w:val="75B9510A"/>
    <w:rsid w:val="766B6D08"/>
    <w:rsid w:val="7777B6C1"/>
    <w:rsid w:val="77BB1BD0"/>
    <w:rsid w:val="77CF4B95"/>
    <w:rsid w:val="77EBDD90"/>
    <w:rsid w:val="77F93989"/>
    <w:rsid w:val="77FF33AA"/>
    <w:rsid w:val="78D520C6"/>
    <w:rsid w:val="78DF9E81"/>
    <w:rsid w:val="7A5D0B9A"/>
    <w:rsid w:val="7AF91650"/>
    <w:rsid w:val="7B7AF35D"/>
    <w:rsid w:val="7BAF3510"/>
    <w:rsid w:val="7BB9447B"/>
    <w:rsid w:val="7BE73F5E"/>
    <w:rsid w:val="7BFF9C11"/>
    <w:rsid w:val="7CBB1486"/>
    <w:rsid w:val="7D1868D9"/>
    <w:rsid w:val="7DDF3595"/>
    <w:rsid w:val="7DFF030A"/>
    <w:rsid w:val="7EBF02E4"/>
    <w:rsid w:val="7F7F5F7E"/>
    <w:rsid w:val="7F9ADC01"/>
    <w:rsid w:val="7FA90E17"/>
    <w:rsid w:val="7FB752AC"/>
    <w:rsid w:val="7FBA438C"/>
    <w:rsid w:val="7FE96ECB"/>
    <w:rsid w:val="7FF34F05"/>
    <w:rsid w:val="7FF7E44F"/>
    <w:rsid w:val="7FFBA4B9"/>
    <w:rsid w:val="96EDF6E5"/>
    <w:rsid w:val="9E7C7620"/>
    <w:rsid w:val="9F77EE29"/>
    <w:rsid w:val="9FFF41BC"/>
    <w:rsid w:val="A8BF17ED"/>
    <w:rsid w:val="AFBFC274"/>
    <w:rsid w:val="B5DBC55F"/>
    <w:rsid w:val="B5FBA9EB"/>
    <w:rsid w:val="B6D87E0E"/>
    <w:rsid w:val="B6F56CD7"/>
    <w:rsid w:val="B7FDDEB6"/>
    <w:rsid w:val="B7FF146F"/>
    <w:rsid w:val="BB3ED817"/>
    <w:rsid w:val="BD7B0AAB"/>
    <w:rsid w:val="BD7E0D69"/>
    <w:rsid w:val="BDE376F9"/>
    <w:rsid w:val="BFBFF865"/>
    <w:rsid w:val="BFC1301A"/>
    <w:rsid w:val="BFFF48DA"/>
    <w:rsid w:val="C2FF73BB"/>
    <w:rsid w:val="CF6E8A25"/>
    <w:rsid w:val="D33FCFD2"/>
    <w:rsid w:val="DF7F707E"/>
    <w:rsid w:val="DFBB105F"/>
    <w:rsid w:val="DFBE5431"/>
    <w:rsid w:val="DFEE6C28"/>
    <w:rsid w:val="E4F76C9E"/>
    <w:rsid w:val="E9BCBFAC"/>
    <w:rsid w:val="EBD3FDEF"/>
    <w:rsid w:val="EE7F6A7D"/>
    <w:rsid w:val="EF997F68"/>
    <w:rsid w:val="EFFB7783"/>
    <w:rsid w:val="EFFD1106"/>
    <w:rsid w:val="EFFDEE3A"/>
    <w:rsid w:val="F3B9F6DE"/>
    <w:rsid w:val="F3DB4057"/>
    <w:rsid w:val="F7B582FC"/>
    <w:rsid w:val="F7BFB06A"/>
    <w:rsid w:val="F9EF9874"/>
    <w:rsid w:val="F9FFD303"/>
    <w:rsid w:val="FABEA9A8"/>
    <w:rsid w:val="FAFD60D5"/>
    <w:rsid w:val="FBDAF381"/>
    <w:rsid w:val="FBDBD0DE"/>
    <w:rsid w:val="FBEBCCFA"/>
    <w:rsid w:val="FBFFAFA7"/>
    <w:rsid w:val="FC7BEADC"/>
    <w:rsid w:val="FDE50350"/>
    <w:rsid w:val="FDE73289"/>
    <w:rsid w:val="FDE9155E"/>
    <w:rsid w:val="FDEF1FBA"/>
    <w:rsid w:val="FE27D36D"/>
    <w:rsid w:val="FE8F9BF2"/>
    <w:rsid w:val="FEBBBB51"/>
    <w:rsid w:val="FEEFEB63"/>
    <w:rsid w:val="FEF316F2"/>
    <w:rsid w:val="FEF7217A"/>
    <w:rsid w:val="FF1FF5D5"/>
    <w:rsid w:val="FF2DD395"/>
    <w:rsid w:val="FFDF1228"/>
    <w:rsid w:val="FFDFA36D"/>
    <w:rsid w:val="FFEF2FD4"/>
    <w:rsid w:val="FFF7AA46"/>
    <w:rsid w:val="FFFEBD94"/>
    <w:rsid w:val="FFFF59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spacing w:before="0" w:after="140" w:line="276" w:lineRule="auto"/>
    </w:pPr>
  </w:style>
  <w:style w:type="paragraph" w:styleId="5">
    <w:name w:val="Body Text Indent"/>
    <w:basedOn w:val="1"/>
    <w:qFormat/>
    <w:uiPriority w:val="0"/>
    <w:pPr>
      <w:spacing w:after="120"/>
      <w:ind w:left="420" w:leftChars="200"/>
    </w:pPr>
    <w:rPr>
      <w:rFonts w:ascii="Calibri" w:hAnsi="Calibri" w:eastAsia="宋体" w:cs="Times New Roman"/>
    </w:rPr>
  </w:style>
  <w:style w:type="paragraph" w:styleId="6">
    <w:name w:val="Plain Text"/>
    <w:basedOn w:val="1"/>
    <w:qFormat/>
    <w:uiPriority w:val="0"/>
    <w:rPr>
      <w:rFonts w:ascii="仿宋_GB2312" w:hAnsi="Courier New" w:eastAsia="仿宋_GB2312" w:cs="Courier New"/>
      <w:sz w:val="32"/>
      <w:szCs w:val="21"/>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Body Text First Indent"/>
    <w:basedOn w:val="4"/>
    <w:qFormat/>
    <w:uiPriority w:val="0"/>
    <w:pPr>
      <w:ind w:firstLine="420" w:firstLineChars="100"/>
    </w:pPr>
  </w:style>
  <w:style w:type="paragraph" w:styleId="10">
    <w:name w:val="Body Text First Indent 2"/>
    <w:basedOn w:val="5"/>
    <w:qFormat/>
    <w:uiPriority w:val="0"/>
    <w:pPr>
      <w:ind w:left="0" w:leftChars="0" w:firstLine="40"/>
    </w:pPr>
    <w:rPr>
      <w:rFonts w:ascii="仿宋_GB2312" w:hAnsi="仿宋_GB2312" w:eastAsia="仿宋" w:cs="仿宋_GB2312"/>
      <w:sz w:val="32"/>
      <w:szCs w:val="32"/>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page number"/>
    <w:basedOn w:val="13"/>
    <w:qFormat/>
    <w:uiPriority w:val="0"/>
  </w:style>
  <w:style w:type="paragraph" w:styleId="16">
    <w:name w:val="No Spacing"/>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1265</Words>
  <Characters>1285</Characters>
  <Lines>0</Lines>
  <Paragraphs>0</Paragraphs>
  <TotalTime>0</TotalTime>
  <ScaleCrop>false</ScaleCrop>
  <LinksUpToDate>false</LinksUpToDate>
  <CharactersWithSpaces>1285</CharactersWithSpaces>
  <Application>WPS Office_12.8.2.1118_F1E327BC-269C-435d-A152-05C5408002CA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2014-11-11T12:08:00Z</dcterms:created>
  <dc:creator>yuep</dc:creator>
  <cp:lastModifiedBy>nbghj</cp:lastModifiedBy>
  <cp:lastPrinted>2024-10-14T06:01:00Z</cp:lastPrinted>
  <dcterms:modified xsi:type="dcterms:W3CDTF">2025-09-16T15:22:53Z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2052-12.8.2.1118</vt:lpwstr>
  </property>
  <property fmtid="{D5CDD505-2E9C-101B-9397-08002B2CF9AE}" pid="3" name="ICV">
    <vt:lpwstr>E0ABDDCF3630418E8591A38421ACB389</vt:lpwstr>
  </property>
  <property fmtid="{D5CDD505-2E9C-101B-9397-08002B2CF9AE}" pid="4" name="KSOTemplateDocerSaveRecord">
    <vt:lpwstr>eyJoZGlkIjoiMmFkNTMzZWE5NDIwMDFkNjg5MDcxZTc0NDUyMGUyMjYiLCJ1c2VySWQiOiI2NTE1ODUxOTYifQ==</vt:lpwstr>
  </property>
</Properties>
</file>