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C2D41">
      <w:pPr>
        <w:jc w:val="cente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《关于进一步做好我市城镇住宅用地地下空间开发利用有关事项管理的通知（试行）（征求意见稿）》</w:t>
      </w:r>
    </w:p>
    <w:p w14:paraId="32C3DEFF">
      <w:pPr>
        <w:jc w:val="cente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起草说明</w:t>
      </w:r>
    </w:p>
    <w:p w14:paraId="48676B04">
      <w:pPr>
        <w:jc w:val="center"/>
        <w:rPr>
          <w:rFonts w:hint="eastAsia"/>
        </w:rPr>
      </w:pPr>
      <w:r>
        <w:rPr>
          <w:rFonts w:hint="eastAsia"/>
        </w:rPr>
        <w:t>​</w:t>
      </w:r>
    </w:p>
    <w:p w14:paraId="3922983A">
      <w:pPr>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 xml:space="preserve">随着城市的快速发展，城镇住宅用地地下空间的开发利用成为拓展城市空间、提升土地利用效率的重要途径。为进一步规范我市城镇住宅用地地下空间的有序利用，推进 “好房子” 建设，我市起草了《关于进一步做好我市城镇住宅用地地下空间开发利用有关事项管理的通知（试行）（征求意见稿）》（以下简称《通知》）。现将有关情况说明如下： </w:t>
      </w:r>
    </w:p>
    <w:p w14:paraId="3B85D7CA">
      <w:pPr>
        <w:ind w:firstLine="640" w:firstLineChars="200"/>
        <w:rPr>
          <w:rFonts w:hint="eastAsia" w:ascii="国标黑体" w:hAnsi="国标黑体" w:eastAsia="国标黑体" w:cs="国标黑体"/>
          <w:b/>
          <w:bCs/>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 xml:space="preserve"> </w:t>
      </w: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一、起草背景和目的</w:t>
      </w:r>
    </w:p>
    <w:p w14:paraId="1A5DEFA6">
      <w:pPr>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  近年来，我市城镇住宅建设不断发展，对地下空间的开发需求日益增长。为进一步做好规划统筹、权属明晰、管理规范、有序利用，以 “公共优先、安全可控、权属明晰” 为原则，加强规划、土地、建设、销售、登记、使用等各环节工作衔接，特制定本《通知》，旨在为城镇住宅用地地下空间开发利用提供明确的指导和规范，提升地下空间利用的科学性、合理性和安全性，推动城市建设高质量发展。​</w:t>
      </w:r>
    </w:p>
    <w:p w14:paraId="77469958">
      <w:pPr>
        <w:ind w:firstLine="641" w:firstLineChars="200"/>
        <w:rPr>
          <w:rFonts w:hint="eastAsia" w:ascii="国标黑体" w:hAnsi="国标黑体" w:eastAsia="国标黑体" w:cs="国标黑体"/>
          <w:b/>
          <w:bCs/>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二、起草依据​</w:t>
      </w:r>
    </w:p>
    <w:p w14:paraId="68A7BAA5">
      <w:pPr>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本《通知》依据《中华人民共和国民法典》《中华人民共和国城乡规划法》《中华人民共和国土地管理法》《城市地下空间开发利用管理规定》等相关法律法规，以及自然资源部《关于探索推进城市地下空间开发利用的指导意见》等行业技术标准进行起草。同时，充分结合我市城镇住宅用地地下空间开发利用的实际情况，确保政策的可行性和有效性。</w:t>
      </w:r>
    </w:p>
    <w:p w14:paraId="7F6D9BE2">
      <w:pPr>
        <w:ind w:firstLine="641" w:firstLineChars="200"/>
        <w:rPr>
          <w:rFonts w:hint="eastAsia" w:ascii="国标黑体" w:hAnsi="国标黑体" w:eastAsia="国标黑体" w:cs="国标黑体"/>
          <w:b/>
          <w:bCs/>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三、起草过程</w:t>
      </w:r>
    </w:p>
    <w:p w14:paraId="02DC7D80">
      <w:pPr>
        <w:ind w:firstLine="640" w:firstLineChars="200"/>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通知》起草阶段，开展调研，与开发建设单位、设计单位、相关政府部门等单位进行交流，了解国内其他城市做法。初稿形成后，先后于6月11日、8月26日书面征求包括市级有关单位、属地政府、区（县市）资规局、市局机关有关处室在内的多个部门单位意见建议。对反馈意见建议研究并经多轮修改，最终形成《通知》征求意见稿。</w:t>
      </w:r>
    </w:p>
    <w:p w14:paraId="573CC303">
      <w:pPr>
        <w:ind w:firstLine="641"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国标黑体" w:hAnsi="国标黑体" w:eastAsia="国标黑体" w:cs="国标黑体"/>
          <w:b/>
          <w:bCs/>
          <w:color w:val="000000" w:themeColor="text1"/>
          <w:sz w:val="32"/>
          <w:szCs w:val="32"/>
          <w:lang w:val="en-US" w:eastAsia="zh-CN"/>
          <w14:textFill>
            <w14:solidFill>
              <w14:schemeClr w14:val="tx1"/>
            </w14:solidFill>
          </w14:textFill>
        </w:rPr>
        <w:t>四、主要内容说明</w:t>
      </w:r>
      <w:r>
        <w:rPr>
          <w:rFonts w:hint="eastAsia" w:ascii="仿宋" w:hAnsi="仿宋" w:eastAsia="仿宋" w:cs="仿宋"/>
          <w:color w:val="000000" w:themeColor="text1"/>
          <w:sz w:val="32"/>
          <w:szCs w:val="32"/>
          <w:lang w:val="en-US" w:eastAsia="zh-CN"/>
          <w14:textFill>
            <w14:solidFill>
              <w14:schemeClr w14:val="tx1"/>
            </w14:solidFill>
          </w14:textFill>
        </w:rPr>
        <w:t>​</w:t>
      </w:r>
    </w:p>
    <w:p w14:paraId="0925DE36">
      <w:pPr>
        <w:ind w:firstLine="643"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强化规划统筹引领：</w:t>
      </w:r>
      <w:r>
        <w:rPr>
          <w:rFonts w:hint="eastAsia" w:ascii="仿宋" w:hAnsi="仿宋" w:eastAsia="仿宋" w:cs="仿宋"/>
          <w:color w:val="000000" w:themeColor="text1"/>
          <w:sz w:val="32"/>
          <w:szCs w:val="32"/>
          <w:lang w:val="en-US" w:eastAsia="zh-CN"/>
          <w14:textFill>
            <w14:solidFill>
              <w14:schemeClr w14:val="tx1"/>
            </w14:solidFill>
          </w14:textFill>
        </w:rPr>
        <w:t>明确地下空间准入要求，鼓励增配配套服务设施，但禁止设置扰民业态及与住宅功能相关的特定空间。在规划条件编制时，对地下空间利用提出开发建设要求，包括公共服务设施的配置、层高限制，以及非住宅居住功能空间的设置区域、连通方式、面积和层高限制等，以保障地下空间的合理布局和有序开发。​</w:t>
      </w:r>
    </w:p>
    <w:p w14:paraId="4D1353E9">
      <w:pPr>
        <w:ind w:firstLine="643"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健全地下空间供应政策：</w:t>
      </w:r>
      <w:r>
        <w:rPr>
          <w:rFonts w:hint="eastAsia" w:ascii="仿宋" w:hAnsi="仿宋" w:eastAsia="仿宋" w:cs="仿宋"/>
          <w:color w:val="000000" w:themeColor="text1"/>
          <w:sz w:val="32"/>
          <w:szCs w:val="32"/>
          <w:lang w:val="en-US" w:eastAsia="zh-CN"/>
          <w14:textFill>
            <w14:solidFill>
              <w14:schemeClr w14:val="tx1"/>
            </w14:solidFill>
          </w14:textFill>
        </w:rPr>
        <w:t>规范地下空间供应方式，结建地下工程的国有建设用地使用权随同地表一并取得，使用期限遵循相关规定，地下空间使用权用于特定功能的，按规划条件和合同约定执行，确保地下空间土地供应的合法性和规范性。​</w:t>
      </w:r>
    </w:p>
    <w:p w14:paraId="370577BE">
      <w:pPr>
        <w:ind w:firstLine="643"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规范工程建设管理：</w:t>
      </w:r>
      <w:r>
        <w:rPr>
          <w:rFonts w:hint="eastAsia" w:ascii="仿宋" w:hAnsi="仿宋" w:eastAsia="仿宋" w:cs="仿宋"/>
          <w:color w:val="000000" w:themeColor="text1"/>
          <w:sz w:val="32"/>
          <w:szCs w:val="32"/>
          <w:lang w:val="en-US" w:eastAsia="zh-CN"/>
          <w14:textFill>
            <w14:solidFill>
              <w14:schemeClr w14:val="tx1"/>
            </w14:solidFill>
          </w14:textFill>
        </w:rPr>
        <w:t>从规划许可、工程施工到工程验收，全方位规范管理。结建地下空间工程一般与地面建筑工程一并取得相关许可，建设单位需按要求申报各类功能用途建筑面积，明确标注用途和范围，确保地下空间建设严格按照规划和施工许可进行，保障工程质量和安全。​</w:t>
      </w:r>
    </w:p>
    <w:p w14:paraId="4A0CA8A4">
      <w:pPr>
        <w:ind w:firstLine="643"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加强销售环节管理：</w:t>
      </w:r>
      <w:r>
        <w:rPr>
          <w:rFonts w:hint="eastAsia" w:ascii="仿宋" w:hAnsi="仿宋" w:eastAsia="仿宋" w:cs="仿宋"/>
          <w:color w:val="000000" w:themeColor="text1"/>
          <w:sz w:val="32"/>
          <w:szCs w:val="32"/>
          <w:lang w:val="en-US" w:eastAsia="zh-CN"/>
          <w14:textFill>
            <w14:solidFill>
              <w14:schemeClr w14:val="tx1"/>
            </w14:solidFill>
          </w14:textFill>
        </w:rPr>
        <w:t>住房城乡建设主管部门在商品房预（销）售合同中对地下空间利用内容分类表述，明确不同规划用途和相应建筑面积，保障购房者的知情权，避免销售环节出现纠纷。​</w:t>
      </w:r>
    </w:p>
    <w:p w14:paraId="1CDFBA59">
      <w:pPr>
        <w:ind w:firstLine="643"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规范地下空间不动产登记：</w:t>
      </w:r>
      <w:r>
        <w:rPr>
          <w:rFonts w:hint="eastAsia" w:ascii="仿宋" w:hAnsi="仿宋" w:eastAsia="仿宋" w:cs="仿宋"/>
          <w:color w:val="000000" w:themeColor="text1"/>
          <w:sz w:val="32"/>
          <w:szCs w:val="32"/>
          <w:lang w:val="en-US" w:eastAsia="zh-CN"/>
          <w14:textFill>
            <w14:solidFill>
              <w14:schemeClr w14:val="tx1"/>
            </w14:solidFill>
          </w14:textFill>
        </w:rPr>
        <w:t>依法依规开展不动产首次登记，明确地下空间不动产登记的单元设定、规划用途依据，以及国有建设用地使用权登记的相关要求。对地下住宅附属用房的登记，根据其与地上住宅的连通情况进行分类处理，确保地下空间产权明晰。​</w:t>
      </w:r>
    </w:p>
    <w:p w14:paraId="46DD0648">
      <w:pPr>
        <w:ind w:firstLine="643" w:firstLineChars="200"/>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其他要求：</w:t>
      </w:r>
      <w:r>
        <w:rPr>
          <w:rFonts w:hint="eastAsia" w:ascii="仿宋" w:hAnsi="仿宋" w:eastAsia="仿宋" w:cs="仿宋"/>
          <w:color w:val="000000" w:themeColor="text1"/>
          <w:sz w:val="32"/>
          <w:szCs w:val="32"/>
          <w:lang w:val="en-US" w:eastAsia="zh-CN"/>
          <w14:textFill>
            <w14:solidFill>
              <w14:schemeClr w14:val="tx1"/>
            </w14:solidFill>
          </w14:textFill>
        </w:rPr>
        <w:t>明确《通知》中城镇住宅用地和非住宅居住功能空间的范围，规定实施时间和适用范围，以及与此前政策不一致时的处理方式，</w:t>
      </w:r>
      <w:bookmarkStart w:id="0" w:name="_GoBack"/>
      <w:bookmarkEnd w:id="0"/>
      <w:r>
        <w:rPr>
          <w:rFonts w:hint="eastAsia" w:ascii="仿宋" w:hAnsi="仿宋" w:eastAsia="仿宋" w:cs="仿宋"/>
          <w:color w:val="000000" w:themeColor="text1"/>
          <w:sz w:val="32"/>
          <w:szCs w:val="32"/>
          <w:lang w:val="en-US" w:eastAsia="zh-CN"/>
          <w14:textFill>
            <w14:solidFill>
              <w14:schemeClr w14:val="tx1"/>
            </w14:solidFill>
          </w14:textFill>
        </w:rPr>
        <w:t>确保《通知》的有效执行和衔接。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722D8B"/>
    <w:rsid w:val="296E11AB"/>
    <w:rsid w:val="2BCD7E69"/>
    <w:rsid w:val="2EF3335C"/>
    <w:rsid w:val="31722D8B"/>
    <w:rsid w:val="3FCF001E"/>
    <w:rsid w:val="7657EB5A"/>
    <w:rsid w:val="9DF81D46"/>
    <w:rsid w:val="AFBF808A"/>
    <w:rsid w:val="BCACC817"/>
    <w:rsid w:val="BFF3BCA1"/>
    <w:rsid w:val="DDAB5669"/>
    <w:rsid w:val="DFDF0004"/>
    <w:rsid w:val="DFFE1DA9"/>
    <w:rsid w:val="EEFCA7D0"/>
    <w:rsid w:val="F76F4147"/>
    <w:rsid w:val="FEF4C655"/>
    <w:rsid w:val="FFF70F4B"/>
    <w:rsid w:val="FFFDC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1368</Words>
  <Characters>1370</Characters>
  <Lines>0</Lines>
  <Paragraphs>0</Paragraphs>
  <TotalTime>146</TotalTime>
  <ScaleCrop>false</ScaleCrop>
  <LinksUpToDate>false</LinksUpToDate>
  <CharactersWithSpaces>1376</CharactersWithSpaces>
  <Application>WPS Office_12.8.2.1118_F1E327BC-269C-435d-A152-05C5408002CA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2025-09-15T15:19:00Z</dcterms:created>
  <dc:creator>Felix</dc:creator>
  <cp:lastModifiedBy>nbghj</cp:lastModifiedBy>
  <dcterms:modified xsi:type="dcterms:W3CDTF">2025-10-09T12:59:01Z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2052-12.8.2.1118</vt:lpwstr>
  </property>
  <property fmtid="{D5CDD505-2E9C-101B-9397-08002B2CF9AE}" pid="3" name="ICV">
    <vt:lpwstr>E9219A68EFC04502BE81D9307810C75A_11</vt:lpwstr>
  </property>
  <property fmtid="{D5CDD505-2E9C-101B-9397-08002B2CF9AE}" pid="4" name="KSOTemplateDocerSaveRecord">
    <vt:lpwstr>eyJoZGlkIjoiNDAxZmVkMzNhNjgwOTJhOTZlMDQyYzRjOWIzMDkyZTEiLCJ1c2VySWQiOiIzNDkzNjUwMzcifQ==</vt:lpwstr>
  </property>
</Properties>
</file>