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FF6DE">
      <w:pPr>
        <w:keepNext w:val="0"/>
        <w:keepLines w:val="0"/>
        <w:pageBreakBefore w:val="0"/>
        <w:kinsoku/>
        <w:wordWrap/>
        <w:topLinePunct w:val="0"/>
        <w:autoSpaceDE/>
        <w:autoSpaceDN/>
        <w:bidi w:val="0"/>
        <w:adjustRightInd/>
        <w:snapToGrid/>
        <w:spacing w:line="600" w:lineRule="exact"/>
        <w:jc w:val="center"/>
        <w:textAlignment w:val="auto"/>
        <w:outlineLvl w:val="0"/>
        <w:rPr>
          <w:rFonts w:ascii="仿宋_GB2312" w:hAnsi="仿宋_GB2312" w:eastAsia="仿宋_GB2312" w:cs="仿宋_GB2312"/>
          <w:b/>
          <w:bCs/>
          <w:color w:val="auto"/>
          <w:sz w:val="32"/>
          <w:szCs w:val="32"/>
          <w:highlight w:val="none"/>
        </w:rPr>
      </w:pPr>
      <w:r>
        <w:rPr>
          <w:rFonts w:hint="eastAsia" w:ascii="方正小标宋简体" w:hAnsi="方正小标宋简体" w:eastAsia="方正小标宋简体" w:cs="方正小标宋简体"/>
          <w:b w:val="0"/>
          <w:bCs w:val="0"/>
          <w:color w:val="auto"/>
          <w:sz w:val="44"/>
          <w:szCs w:val="44"/>
          <w:highlight w:val="none"/>
        </w:rPr>
        <w:t>宁波市古树名木分级保护管理办法</w:t>
      </w:r>
    </w:p>
    <w:p w14:paraId="0B3531E2">
      <w:pPr>
        <w:keepNext w:val="0"/>
        <w:keepLines w:val="0"/>
        <w:pageBreakBefore w:val="0"/>
        <w:kinsoku/>
        <w:wordWrap/>
        <w:topLinePunct w:val="0"/>
        <w:autoSpaceDE/>
        <w:autoSpaceDN/>
        <w:bidi w:val="0"/>
        <w:adjustRightInd/>
        <w:snapToGrid/>
        <w:spacing w:line="600" w:lineRule="exact"/>
        <w:jc w:val="center"/>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eastAsia="zh-CN"/>
        </w:rPr>
        <w:t>（征求意见稿）</w:t>
      </w:r>
    </w:p>
    <w:p w14:paraId="627A2E41">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bookmarkStart w:id="2" w:name="_GoBack"/>
      <w:bookmarkEnd w:id="2"/>
      <w:r>
        <w:rPr>
          <w:rFonts w:hint="eastAsia" w:ascii="仿宋_GB2312" w:hAnsi="仿宋_GB2312" w:eastAsia="仿宋_GB2312" w:cs="仿宋_GB2312"/>
          <w:color w:val="auto"/>
          <w:sz w:val="30"/>
          <w:szCs w:val="30"/>
          <w:highlight w:val="none"/>
        </w:rPr>
        <w:t>为贯彻落实《古树名木保护条例》，做好古树名木保护，传承历史文化，促进生态文明建设，根据《宁波市古树名木保护规定》中对分级保护、养护责任等条款的细化要求，结合我市实际，制定本办法。</w:t>
      </w:r>
    </w:p>
    <w:p w14:paraId="5038D52C">
      <w:pPr>
        <w:keepNext w:val="0"/>
        <w:keepLines w:val="0"/>
        <w:pageBreakBefore w:val="0"/>
        <w:kinsoku/>
        <w:wordWrap/>
        <w:topLinePunct w:val="0"/>
        <w:autoSpaceDE/>
        <w:autoSpaceDN/>
        <w:bidi w:val="0"/>
        <w:adjustRightInd/>
        <w:snapToGrid/>
        <w:spacing w:line="600" w:lineRule="exact"/>
        <w:ind w:firstLine="602" w:firstLineChars="200"/>
        <w:textAlignment w:val="auto"/>
        <w:outlineLvl w:val="0"/>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一、总则</w:t>
      </w:r>
    </w:p>
    <w:p w14:paraId="1EE6F18E">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（一）适用范围。</w:t>
      </w:r>
      <w:r>
        <w:rPr>
          <w:rFonts w:hint="eastAsia" w:ascii="仿宋_GB2312" w:hAnsi="仿宋_GB2312" w:eastAsia="仿宋_GB2312" w:cs="仿宋_GB2312"/>
          <w:color w:val="auto"/>
          <w:sz w:val="30"/>
          <w:szCs w:val="30"/>
          <w:highlight w:val="none"/>
        </w:rPr>
        <w:t>本市行政区域内古树名木的保护，适用本办法。</w:t>
      </w:r>
    </w:p>
    <w:p w14:paraId="29EDB46F">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（二）基本原则。</w:t>
      </w:r>
      <w:r>
        <w:rPr>
          <w:rFonts w:hint="eastAsia" w:ascii="仿宋_GB2312" w:hAnsi="仿宋_GB2312" w:eastAsia="仿宋_GB2312" w:cs="仿宋_GB2312"/>
          <w:color w:val="auto"/>
          <w:sz w:val="30"/>
          <w:szCs w:val="30"/>
          <w:highlight w:val="none"/>
        </w:rPr>
        <w:t>突出重点、因地制宜、分类施策、分级保护。</w:t>
      </w:r>
    </w:p>
    <w:p w14:paraId="07FAE55B">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（三）分级管理</w:t>
      </w:r>
      <w:r>
        <w:rPr>
          <w:rFonts w:hint="eastAsia"/>
          <w:color w:val="auto"/>
          <w:highlight w:val="none"/>
        </w:rPr>
        <w:t>。</w:t>
      </w:r>
      <w:r>
        <w:rPr>
          <w:rFonts w:hint="eastAsia" w:ascii="仿宋_GB2312" w:hAnsi="仿宋_GB2312" w:eastAsia="仿宋_GB2312" w:cs="仿宋_GB2312"/>
          <w:color w:val="auto"/>
          <w:sz w:val="30"/>
          <w:szCs w:val="30"/>
          <w:highlight w:val="none"/>
        </w:rPr>
        <w:t>根据古树名木树龄和生长状况实行分级保护管理。</w:t>
      </w:r>
    </w:p>
    <w:p w14:paraId="00914082">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一级保护管理：对名木和树龄五百年以上的古树实行一级保护管理；</w:t>
      </w:r>
    </w:p>
    <w:p w14:paraId="7D951CF0">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二级保护管理：对树龄三百年以上不满五百年的古树实行二级保护管理；</w:t>
      </w:r>
    </w:p>
    <w:p w14:paraId="6DEF9430">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三级保护管理：对树龄一百年以上不满三百年的古树实行三级保护管理；</w:t>
      </w:r>
    </w:p>
    <w:p w14:paraId="54A3FF1E">
      <w:pPr>
        <w:keepNext w:val="0"/>
        <w:keepLines w:val="0"/>
        <w:pageBreakBefore w:val="0"/>
        <w:kinsoku/>
        <w:wordWrap/>
        <w:topLinePunct w:val="0"/>
        <w:autoSpaceDE/>
        <w:autoSpaceDN/>
        <w:bidi w:val="0"/>
        <w:adjustRightInd/>
        <w:snapToGrid/>
        <w:spacing w:line="600" w:lineRule="exact"/>
        <w:ind w:firstLine="600" w:firstLineChars="200"/>
        <w:textAlignment w:val="auto"/>
        <w:rPr>
          <w:color w:val="auto"/>
          <w:highlight w:val="none"/>
        </w:rPr>
      </w:pPr>
      <w:r>
        <w:rPr>
          <w:rFonts w:hint="eastAsia" w:ascii="仿宋_GB2312" w:hAnsi="仿宋_GB2312" w:eastAsia="仿宋_GB2312" w:cs="仿宋_GB2312"/>
          <w:color w:val="auto"/>
          <w:sz w:val="30"/>
          <w:szCs w:val="30"/>
          <w:highlight w:val="none"/>
        </w:rPr>
        <w:t>特殊保护管理：经</w:t>
      </w:r>
      <w:r>
        <w:rPr>
          <w:rFonts w:hint="eastAsia" w:ascii="仿宋_GB2312" w:hAnsi="仿宋_GB2312" w:eastAsia="仿宋_GB2312" w:cs="仿宋_GB2312"/>
          <w:color w:val="auto"/>
          <w:sz w:val="30"/>
          <w:szCs w:val="30"/>
          <w:highlight w:val="none"/>
          <w:lang w:eastAsia="zh-CN"/>
        </w:rPr>
        <w:t>县级以上</w:t>
      </w:r>
      <w:r>
        <w:rPr>
          <w:rFonts w:hint="eastAsia" w:ascii="仿宋_GB2312" w:hAnsi="仿宋_GB2312" w:eastAsia="仿宋_GB2312" w:cs="仿宋_GB2312"/>
          <w:color w:val="auto"/>
          <w:sz w:val="30"/>
          <w:szCs w:val="30"/>
          <w:highlight w:val="none"/>
        </w:rPr>
        <w:t>地方人民政府认定并公布的古树群，可以采取整体性保护措施，实行特殊保护管理。</w:t>
      </w:r>
    </w:p>
    <w:p w14:paraId="43037DBF">
      <w:pPr>
        <w:keepNext w:val="0"/>
        <w:keepLines w:val="0"/>
        <w:pageBreakBefore w:val="0"/>
        <w:kinsoku/>
        <w:wordWrap/>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提级保护管理：对处于城区、风景名胜区及其他人员密集场所，受人为活动影响频繁的古树，可视具体情况</w:t>
      </w:r>
      <w:r>
        <w:rPr>
          <w:rFonts w:hint="eastAsia" w:ascii="仿宋_GB2312" w:hAnsi="仿宋_GB2312" w:eastAsia="仿宋_GB2312" w:cs="仿宋_GB2312"/>
          <w:color w:val="auto"/>
          <w:sz w:val="30"/>
          <w:szCs w:val="30"/>
          <w:highlight w:val="none"/>
          <w:lang w:eastAsia="zh-CN"/>
        </w:rPr>
        <w:t>实行</w:t>
      </w:r>
      <w:r>
        <w:rPr>
          <w:rFonts w:hint="eastAsia" w:ascii="仿宋_GB2312" w:hAnsi="仿宋_GB2312" w:eastAsia="仿宋_GB2312" w:cs="仿宋_GB2312"/>
          <w:color w:val="auto"/>
          <w:sz w:val="30"/>
          <w:szCs w:val="30"/>
          <w:highlight w:val="none"/>
        </w:rPr>
        <w:t>提级保护；生长势濒危的古树可</w:t>
      </w:r>
      <w:r>
        <w:rPr>
          <w:rFonts w:hint="eastAsia" w:ascii="仿宋_GB2312" w:hAnsi="仿宋_GB2312" w:eastAsia="仿宋_GB2312" w:cs="仿宋_GB2312"/>
          <w:color w:val="auto"/>
          <w:sz w:val="30"/>
          <w:szCs w:val="30"/>
          <w:highlight w:val="none"/>
          <w:lang w:eastAsia="zh-CN"/>
        </w:rPr>
        <w:t>阶段性</w:t>
      </w:r>
      <w:r>
        <w:rPr>
          <w:rFonts w:hint="eastAsia" w:ascii="仿宋_GB2312" w:hAnsi="仿宋_GB2312" w:eastAsia="仿宋_GB2312" w:cs="仿宋_GB2312"/>
          <w:color w:val="auto"/>
          <w:sz w:val="30"/>
          <w:szCs w:val="30"/>
          <w:highlight w:val="none"/>
        </w:rPr>
        <w:t>实行一级保护管理，生长势衰弱的古树可</w:t>
      </w:r>
      <w:r>
        <w:rPr>
          <w:rFonts w:hint="eastAsia" w:ascii="仿宋_GB2312" w:hAnsi="仿宋_GB2312" w:eastAsia="仿宋_GB2312" w:cs="仿宋_GB2312"/>
          <w:color w:val="auto"/>
          <w:sz w:val="30"/>
          <w:szCs w:val="30"/>
          <w:highlight w:val="none"/>
          <w:lang w:eastAsia="zh-CN"/>
        </w:rPr>
        <w:t>阶段性</w:t>
      </w:r>
      <w:r>
        <w:rPr>
          <w:rFonts w:hint="eastAsia" w:ascii="仿宋_GB2312" w:hAnsi="仿宋_GB2312" w:eastAsia="仿宋_GB2312" w:cs="仿宋_GB2312"/>
          <w:color w:val="auto"/>
          <w:sz w:val="30"/>
          <w:szCs w:val="30"/>
          <w:highlight w:val="none"/>
        </w:rPr>
        <w:t>实行</w:t>
      </w:r>
      <w:r>
        <w:rPr>
          <w:rFonts w:hint="eastAsia" w:ascii="仿宋_GB2312" w:hAnsi="仿宋_GB2312" w:eastAsia="仿宋_GB2312" w:cs="仿宋_GB2312"/>
          <w:color w:val="auto"/>
          <w:sz w:val="30"/>
          <w:szCs w:val="30"/>
          <w:highlight w:val="none"/>
          <w:lang w:eastAsia="zh-CN"/>
        </w:rPr>
        <w:t>提</w:t>
      </w:r>
      <w:r>
        <w:rPr>
          <w:rFonts w:hint="eastAsia" w:ascii="仿宋_GB2312" w:hAnsi="仿宋_GB2312" w:eastAsia="仿宋_GB2312" w:cs="仿宋_GB2312"/>
          <w:color w:val="auto"/>
          <w:sz w:val="30"/>
          <w:szCs w:val="30"/>
          <w:highlight w:val="none"/>
        </w:rPr>
        <w:t>级保护管理</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不满一百年和其他具有历史价值或者重要纪念意义的树木可</w:t>
      </w:r>
      <w:r>
        <w:rPr>
          <w:rFonts w:hint="eastAsia" w:ascii="仿宋_GB2312" w:hAnsi="仿宋_GB2312" w:eastAsia="仿宋_GB2312" w:cs="仿宋_GB2312"/>
          <w:color w:val="auto"/>
          <w:sz w:val="30"/>
          <w:szCs w:val="30"/>
          <w:highlight w:val="none"/>
          <w:lang w:eastAsia="zh-CN"/>
        </w:rPr>
        <w:t>视情参照</w:t>
      </w:r>
      <w:r>
        <w:rPr>
          <w:rFonts w:hint="eastAsia" w:ascii="仿宋_GB2312" w:hAnsi="仿宋_GB2312" w:eastAsia="仿宋_GB2312" w:cs="仿宋_GB2312"/>
          <w:color w:val="auto"/>
          <w:sz w:val="30"/>
          <w:szCs w:val="30"/>
          <w:highlight w:val="none"/>
        </w:rPr>
        <w:t>实施</w:t>
      </w:r>
      <w:r>
        <w:rPr>
          <w:rFonts w:hint="eastAsia" w:ascii="仿宋_GB2312" w:hAnsi="仿宋_GB2312" w:eastAsia="仿宋_GB2312" w:cs="仿宋_GB2312"/>
          <w:color w:val="auto"/>
          <w:sz w:val="30"/>
          <w:szCs w:val="30"/>
          <w:highlight w:val="none"/>
          <w:lang w:eastAsia="zh-CN"/>
        </w:rPr>
        <w:t>提级</w:t>
      </w:r>
      <w:r>
        <w:rPr>
          <w:rFonts w:hint="eastAsia" w:ascii="仿宋_GB2312" w:hAnsi="仿宋_GB2312" w:eastAsia="仿宋_GB2312" w:cs="仿宋_GB2312"/>
          <w:color w:val="auto"/>
          <w:sz w:val="30"/>
          <w:szCs w:val="30"/>
          <w:highlight w:val="none"/>
        </w:rPr>
        <w:t>保护。</w:t>
      </w:r>
    </w:p>
    <w:p w14:paraId="144A5B5E">
      <w:pPr>
        <w:keepNext w:val="0"/>
        <w:keepLines w:val="0"/>
        <w:pageBreakBefore w:val="0"/>
        <w:kinsoku/>
        <w:wordWrap/>
        <w:topLinePunct w:val="0"/>
        <w:autoSpaceDE/>
        <w:autoSpaceDN/>
        <w:bidi w:val="0"/>
        <w:adjustRightInd/>
        <w:snapToGrid/>
        <w:spacing w:line="600" w:lineRule="exact"/>
        <w:ind w:firstLine="602" w:firstLineChars="200"/>
        <w:textAlignment w:val="auto"/>
        <w:outlineLvl w:val="0"/>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二、管理权限与流程</w:t>
      </w:r>
    </w:p>
    <w:p w14:paraId="2498514E">
      <w:pPr>
        <w:keepNext w:val="0"/>
        <w:keepLines w:val="0"/>
        <w:pageBreakBefore w:val="0"/>
        <w:kinsoku/>
        <w:wordWrap/>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b/>
          <w:bCs/>
          <w:color w:val="auto"/>
          <w:sz w:val="30"/>
          <w:szCs w:val="30"/>
          <w:highlight w:val="none"/>
        </w:rPr>
        <w:t>（四）保护管理等级认定。</w:t>
      </w:r>
      <w:r>
        <w:rPr>
          <w:rFonts w:ascii="仿宋_GB2312" w:hAnsi="仿宋_GB2312" w:eastAsia="仿宋_GB2312" w:cs="仿宋_GB2312"/>
          <w:color w:val="auto"/>
          <w:sz w:val="30"/>
          <w:szCs w:val="30"/>
          <w:highlight w:val="none"/>
        </w:rPr>
        <w:t>名木</w:t>
      </w:r>
      <w:r>
        <w:rPr>
          <w:rFonts w:hint="eastAsia" w:ascii="仿宋_GB2312" w:hAnsi="仿宋_GB2312" w:eastAsia="仿宋_GB2312" w:cs="仿宋_GB2312"/>
          <w:color w:val="auto"/>
          <w:sz w:val="30"/>
          <w:szCs w:val="30"/>
          <w:highlight w:val="none"/>
        </w:rPr>
        <w:t>和树龄五百年以上的一级保护管理古树</w:t>
      </w:r>
      <w:r>
        <w:rPr>
          <w:rFonts w:ascii="仿宋_GB2312" w:hAnsi="仿宋_GB2312" w:eastAsia="仿宋_GB2312" w:cs="仿宋_GB2312"/>
          <w:color w:val="auto"/>
          <w:sz w:val="30"/>
          <w:szCs w:val="30"/>
          <w:highlight w:val="none"/>
        </w:rPr>
        <w:t>由省古树名木主管部门认定</w:t>
      </w:r>
      <w:r>
        <w:rPr>
          <w:rFonts w:hint="eastAsia" w:ascii="仿宋_GB2312" w:hAnsi="仿宋_GB2312" w:eastAsia="仿宋_GB2312" w:cs="仿宋_GB2312"/>
          <w:color w:val="auto"/>
          <w:sz w:val="30"/>
          <w:szCs w:val="30"/>
          <w:highlight w:val="none"/>
        </w:rPr>
        <w:t>；树龄三百年以上不满五百年的二级保护管理古树由市古树名木主管部门认定；树龄一百年以上不满三百年的三级保护管理古树由县级古树名木主管部门认定。</w:t>
      </w:r>
      <w:r>
        <w:rPr>
          <w:rFonts w:hint="eastAsia" w:ascii="仿宋_GB2312" w:hAnsi="仿宋_GB2312" w:eastAsia="仿宋_GB2312" w:cs="仿宋_GB2312"/>
          <w:color w:val="auto"/>
          <w:sz w:val="30"/>
          <w:szCs w:val="30"/>
          <w:highlight w:val="none"/>
          <w:lang w:eastAsia="zh-CN"/>
        </w:rPr>
        <w:t>上述认定结果均须</w:t>
      </w:r>
      <w:r>
        <w:rPr>
          <w:rFonts w:hint="eastAsia" w:ascii="仿宋_GB2312" w:hAnsi="仿宋_GB2312" w:eastAsia="仿宋_GB2312" w:cs="仿宋_GB2312"/>
          <w:color w:val="auto"/>
          <w:sz w:val="30"/>
          <w:szCs w:val="30"/>
          <w:highlight w:val="none"/>
        </w:rPr>
        <w:t>报</w:t>
      </w:r>
      <w:r>
        <w:rPr>
          <w:rFonts w:hint="eastAsia" w:ascii="仿宋_GB2312" w:hAnsi="仿宋_GB2312" w:eastAsia="仿宋_GB2312" w:cs="仿宋_GB2312"/>
          <w:color w:val="auto"/>
          <w:sz w:val="30"/>
          <w:szCs w:val="30"/>
          <w:highlight w:val="none"/>
          <w:lang w:eastAsia="zh-CN"/>
        </w:rPr>
        <w:t>同</w:t>
      </w:r>
      <w:r>
        <w:rPr>
          <w:rFonts w:hint="eastAsia" w:ascii="仿宋_GB2312" w:hAnsi="仿宋_GB2312" w:eastAsia="仿宋_GB2312" w:cs="仿宋_GB2312"/>
          <w:color w:val="auto"/>
          <w:sz w:val="30"/>
          <w:szCs w:val="30"/>
          <w:highlight w:val="none"/>
        </w:rPr>
        <w:t>级人民政府批准后依法公布</w:t>
      </w:r>
      <w:r>
        <w:rPr>
          <w:rFonts w:hint="eastAsia" w:ascii="仿宋_GB2312" w:hAnsi="仿宋_GB2312" w:eastAsia="仿宋_GB2312" w:cs="仿宋_GB2312"/>
          <w:color w:val="auto"/>
          <w:sz w:val="30"/>
          <w:szCs w:val="30"/>
          <w:highlight w:val="none"/>
          <w:lang w:eastAsia="zh-CN"/>
        </w:rPr>
        <w:t>。</w:t>
      </w:r>
    </w:p>
    <w:p w14:paraId="74C6E3FD">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因所处场所特殊需要实行提级保护管理的古树，由县级古树名木主管部门组织专家评估认定</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报同级人民政府批准后组织实施，并按管理权限报市级及以上古树名木主管部门备案。</w:t>
      </w:r>
    </w:p>
    <w:p w14:paraId="7264A9DC">
      <w:pPr>
        <w:keepNext w:val="0"/>
        <w:keepLines w:val="0"/>
        <w:pageBreakBefore w:val="0"/>
        <w:kinsoku/>
        <w:wordWrap/>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因生长势濒危</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衰弱</w:t>
      </w:r>
      <w:r>
        <w:rPr>
          <w:rFonts w:hint="eastAsia" w:ascii="仿宋_GB2312" w:hAnsi="仿宋_GB2312" w:eastAsia="仿宋_GB2312" w:cs="仿宋_GB2312"/>
          <w:color w:val="auto"/>
          <w:sz w:val="30"/>
          <w:szCs w:val="30"/>
          <w:highlight w:val="none"/>
          <w:lang w:eastAsia="zh-CN"/>
        </w:rPr>
        <w:t>实行</w:t>
      </w:r>
      <w:r>
        <w:rPr>
          <w:rFonts w:hint="eastAsia" w:ascii="仿宋_GB2312" w:hAnsi="仿宋_GB2312" w:eastAsia="仿宋_GB2312" w:cs="仿宋_GB2312"/>
          <w:color w:val="auto"/>
          <w:sz w:val="30"/>
          <w:szCs w:val="30"/>
          <w:highlight w:val="none"/>
        </w:rPr>
        <w:t>提级保护管理的古树，由县级古树名木主管部门组织专家评估认定后组织实施，依托日常巡查、养护、救治、复壮等措施实行动态管理，待生长势恢复后纳入正常管理。</w:t>
      </w:r>
    </w:p>
    <w:p w14:paraId="64E7AEFE">
      <w:pPr>
        <w:keepNext w:val="0"/>
        <w:keepLines w:val="0"/>
        <w:pageBreakBefore w:val="0"/>
        <w:kinsoku/>
        <w:wordWrap/>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不满一百年和其他具有历史价值或者重要纪念意义的树木</w:t>
      </w:r>
      <w:r>
        <w:rPr>
          <w:rFonts w:hint="eastAsia" w:ascii="仿宋_GB2312" w:hAnsi="仿宋_GB2312" w:eastAsia="仿宋_GB2312" w:cs="仿宋_GB2312"/>
          <w:color w:val="auto"/>
          <w:sz w:val="30"/>
          <w:szCs w:val="30"/>
          <w:highlight w:val="none"/>
          <w:lang w:eastAsia="zh-CN"/>
        </w:rPr>
        <w:t>，可</w:t>
      </w:r>
      <w:r>
        <w:rPr>
          <w:rFonts w:hint="eastAsia" w:ascii="仿宋_GB2312" w:hAnsi="仿宋_GB2312" w:eastAsia="仿宋_GB2312" w:cs="仿宋_GB2312"/>
          <w:color w:val="auto"/>
          <w:sz w:val="30"/>
          <w:szCs w:val="30"/>
          <w:highlight w:val="none"/>
        </w:rPr>
        <w:t>由县级古树名木主管部门组织专家评估认定后实施</w:t>
      </w:r>
      <w:r>
        <w:rPr>
          <w:rFonts w:hint="eastAsia" w:ascii="仿宋_GB2312" w:hAnsi="仿宋_GB2312" w:eastAsia="仿宋_GB2312" w:cs="仿宋_GB2312"/>
          <w:color w:val="auto"/>
          <w:sz w:val="30"/>
          <w:szCs w:val="30"/>
          <w:highlight w:val="none"/>
          <w:lang w:eastAsia="zh-CN"/>
        </w:rPr>
        <w:t>提级</w:t>
      </w:r>
      <w:r>
        <w:rPr>
          <w:rFonts w:hint="eastAsia" w:ascii="仿宋_GB2312" w:hAnsi="仿宋_GB2312" w:eastAsia="仿宋_GB2312" w:cs="仿宋_GB2312"/>
          <w:color w:val="auto"/>
          <w:sz w:val="30"/>
          <w:szCs w:val="30"/>
          <w:highlight w:val="none"/>
        </w:rPr>
        <w:t>保护。</w:t>
      </w:r>
    </w:p>
    <w:p w14:paraId="6F1529AB">
      <w:pPr>
        <w:keepNext w:val="0"/>
        <w:keepLines w:val="0"/>
        <w:pageBreakBefore w:val="0"/>
        <w:numPr>
          <w:ilvl w:val="0"/>
          <w:numId w:val="1"/>
        </w:numPr>
        <w:kinsoku/>
        <w:wordWrap/>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古树群保护。</w:t>
      </w:r>
      <w:r>
        <w:rPr>
          <w:rFonts w:hint="eastAsia" w:ascii="仿宋_GB2312" w:hAnsi="仿宋_GB2312" w:eastAsia="仿宋_GB2312" w:cs="仿宋_GB2312"/>
          <w:color w:val="auto"/>
          <w:sz w:val="30"/>
          <w:szCs w:val="30"/>
          <w:highlight w:val="none"/>
        </w:rPr>
        <w:t>古树群按照涉及古树名木的最高保护等级，由相应的古树名木主管部门认定，报</w:t>
      </w:r>
      <w:r>
        <w:rPr>
          <w:rFonts w:hint="eastAsia" w:ascii="仿宋_GB2312" w:hAnsi="仿宋_GB2312" w:eastAsia="仿宋_GB2312" w:cs="仿宋_GB2312"/>
          <w:color w:val="auto"/>
          <w:sz w:val="30"/>
          <w:szCs w:val="30"/>
          <w:highlight w:val="none"/>
          <w:lang w:eastAsia="zh-CN"/>
        </w:rPr>
        <w:t>同</w:t>
      </w:r>
      <w:r>
        <w:rPr>
          <w:rFonts w:hint="eastAsia" w:ascii="仿宋_GB2312" w:hAnsi="仿宋_GB2312" w:eastAsia="仿宋_GB2312" w:cs="仿宋_GB2312"/>
          <w:color w:val="auto"/>
          <w:sz w:val="30"/>
          <w:szCs w:val="30"/>
          <w:highlight w:val="none"/>
        </w:rPr>
        <w:t>级人民政府批准后依法公布。</w:t>
      </w:r>
    </w:p>
    <w:p w14:paraId="36504071">
      <w:pPr>
        <w:keepNext w:val="0"/>
        <w:keepLines w:val="0"/>
        <w:pageBreakBefore w:val="0"/>
        <w:numPr>
          <w:ilvl w:val="-1"/>
          <w:numId w:val="0"/>
        </w:numPr>
        <w:kinsoku/>
        <w:wordWrap/>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　　</w:t>
      </w:r>
      <w:r>
        <w:rPr>
          <w:rFonts w:hint="eastAsia" w:ascii="仿宋_GB2312" w:hAnsi="仿宋_GB2312" w:eastAsia="仿宋_GB2312" w:cs="仿宋_GB2312"/>
          <w:b/>
          <w:bCs/>
          <w:color w:val="auto"/>
          <w:sz w:val="30"/>
          <w:szCs w:val="30"/>
          <w:highlight w:val="none"/>
        </w:rPr>
        <w:t>（六）</w:t>
      </w:r>
      <w:r>
        <w:rPr>
          <w:rFonts w:hint="eastAsia" w:ascii="仿宋_GB2312" w:hAnsi="仿宋_GB2312" w:eastAsia="仿宋_GB2312" w:cs="仿宋_GB2312"/>
          <w:b/>
          <w:bCs/>
          <w:color w:val="auto"/>
          <w:sz w:val="30"/>
          <w:szCs w:val="30"/>
          <w:highlight w:val="none"/>
          <w:lang w:eastAsia="zh-CN"/>
        </w:rPr>
        <w:t>移植要求。</w:t>
      </w:r>
      <w:r>
        <w:rPr>
          <w:rFonts w:hint="eastAsia" w:ascii="仿宋_GB2312" w:hAnsi="仿宋_GB2312" w:eastAsia="仿宋_GB2312" w:cs="仿宋_GB2312"/>
          <w:color w:val="auto"/>
          <w:sz w:val="30"/>
          <w:szCs w:val="30"/>
          <w:highlight w:val="none"/>
          <w:lang w:eastAsia="zh-CN"/>
        </w:rPr>
        <w:t>古树名木坐标和保护范围空间信息应当纳入国土空间规划“一张图”。建设项目选址应当避让古树名木，以保障其安全和生长空间。有下列情形之一，确需移植古树名木的，建设单位应当提出移植申请并提交相应的移植和养护方案，按照相关要求办理移植审批：</w:t>
      </w:r>
    </w:p>
    <w:p w14:paraId="704F598A">
      <w:pPr>
        <w:keepNext w:val="0"/>
        <w:keepLines w:val="0"/>
        <w:pageBreakBefore w:val="0"/>
        <w:numPr>
          <w:ilvl w:val="-1"/>
          <w:numId w:val="0"/>
        </w:numPr>
        <w:kinsoku/>
        <w:wordWrap/>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　　１．国家能源、交通、水利、军事设施等重点建设项目选址确实无法避让古树名木；</w:t>
      </w:r>
    </w:p>
    <w:p w14:paraId="7B766977">
      <w:pPr>
        <w:keepNext w:val="0"/>
        <w:keepLines w:val="0"/>
        <w:pageBreakBefore w:val="0"/>
        <w:numPr>
          <w:ilvl w:val="-1"/>
          <w:numId w:val="0"/>
        </w:numPr>
        <w:kinsoku/>
        <w:wordWrap/>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　　２．省能源、交通、水利等重点建设项目选址确实无法避让实行二级保护、三级保护的古树；</w:t>
      </w:r>
    </w:p>
    <w:p w14:paraId="7B2BCF10">
      <w:pPr>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600" w:lineRule="exact"/>
        <w:ind w:left="0" w:right="0" w:firstLine="600" w:firstLineChars="200"/>
        <w:jc w:val="both"/>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0"/>
          <w:szCs w:val="30"/>
          <w:highlight w:val="none"/>
          <w:lang w:eastAsia="zh-CN"/>
        </w:rPr>
        <w:t>３．其他基础设施建设项目选址确实无法避让实行三级保护的古树。</w:t>
      </w:r>
    </w:p>
    <w:p w14:paraId="3B8021F4">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七</w:t>
      </w: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移植</w:t>
      </w:r>
      <w:r>
        <w:rPr>
          <w:rFonts w:hint="eastAsia" w:ascii="仿宋_GB2312" w:hAnsi="仿宋_GB2312" w:eastAsia="仿宋_GB2312" w:cs="仿宋_GB2312"/>
          <w:b/>
          <w:bCs/>
          <w:color w:val="auto"/>
          <w:sz w:val="30"/>
          <w:szCs w:val="30"/>
          <w:highlight w:val="none"/>
        </w:rPr>
        <w:t>审批。</w:t>
      </w:r>
      <w:r>
        <w:rPr>
          <w:rFonts w:hint="eastAsia" w:ascii="仿宋_GB2312" w:hAnsi="仿宋_GB2312" w:eastAsia="仿宋_GB2312" w:cs="仿宋_GB2312"/>
          <w:color w:val="auto"/>
          <w:sz w:val="30"/>
          <w:szCs w:val="30"/>
          <w:highlight w:val="none"/>
        </w:rPr>
        <w:t>古树名木的移植审批需按照对应权限实施，审批程序由县级古树名木主管部门发起。</w:t>
      </w:r>
    </w:p>
    <w:p w14:paraId="7619179B">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实行一级保护的古树和名木，须经省古树名木主管部门审核，报省人民政府审批；实行二级保护的古树，须经市古树名木主管部门审核，报市人民政府审批；实行三级保护的古树，须经县级古树名木主管部门审核，报县级人民政府审批</w:t>
      </w:r>
      <w:r>
        <w:rPr>
          <w:rFonts w:hint="eastAsia" w:ascii="仿宋_GB2312" w:hAnsi="仿宋_GB2312" w:eastAsia="仿宋_GB2312" w:cs="仿宋_GB2312"/>
          <w:color w:val="auto"/>
          <w:sz w:val="30"/>
          <w:szCs w:val="30"/>
          <w:highlight w:val="none"/>
          <w:lang w:eastAsia="zh-CN"/>
        </w:rPr>
        <w:t>，提级保护的古树按原保护级别进行审批</w:t>
      </w:r>
      <w:r>
        <w:rPr>
          <w:rFonts w:hint="eastAsia" w:ascii="仿宋_GB2312" w:hAnsi="仿宋_GB2312" w:eastAsia="仿宋_GB2312" w:cs="仿宋_GB2312"/>
          <w:color w:val="auto"/>
          <w:sz w:val="30"/>
          <w:szCs w:val="30"/>
          <w:highlight w:val="none"/>
        </w:rPr>
        <w:t>。</w:t>
      </w:r>
    </w:p>
    <w:p w14:paraId="3A9DFDBB">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八</w:t>
      </w:r>
      <w:r>
        <w:rPr>
          <w:rFonts w:hint="eastAsia" w:ascii="仿宋_GB2312" w:hAnsi="仿宋_GB2312" w:eastAsia="仿宋_GB2312" w:cs="仿宋_GB2312"/>
          <w:b/>
          <w:bCs/>
          <w:color w:val="auto"/>
          <w:sz w:val="30"/>
          <w:szCs w:val="30"/>
          <w:highlight w:val="none"/>
        </w:rPr>
        <w:t>）死树处置。</w:t>
      </w:r>
      <w:r>
        <w:rPr>
          <w:rFonts w:hint="eastAsia" w:ascii="仿宋_GB2312" w:hAnsi="仿宋_GB2312" w:eastAsia="仿宋_GB2312" w:cs="仿宋_GB2312"/>
          <w:b w:val="0"/>
          <w:bCs w:val="0"/>
          <w:color w:val="auto"/>
          <w:sz w:val="30"/>
          <w:szCs w:val="30"/>
          <w:highlight w:val="none"/>
        </w:rPr>
        <w:t>发现古树名木死亡</w:t>
      </w:r>
      <w:r>
        <w:rPr>
          <w:rFonts w:hint="eastAsia" w:ascii="仿宋_GB2312" w:hAnsi="仿宋_GB2312" w:eastAsia="仿宋_GB2312" w:cs="仿宋_GB2312"/>
          <w:color w:val="auto"/>
          <w:sz w:val="30"/>
          <w:szCs w:val="30"/>
          <w:highlight w:val="none"/>
        </w:rPr>
        <w:t>的</w:t>
      </w:r>
      <w:r>
        <w:rPr>
          <w:rFonts w:hint="eastAsia" w:ascii="仿宋_GB2312" w:hAnsi="仿宋_GB2312" w:eastAsia="仿宋_GB2312" w:cs="仿宋_GB2312"/>
          <w:b w:val="0"/>
          <w:bCs w:val="0"/>
          <w:color w:val="auto"/>
          <w:sz w:val="30"/>
          <w:szCs w:val="30"/>
          <w:highlight w:val="none"/>
        </w:rPr>
        <w:t>，应按</w:t>
      </w:r>
      <w:r>
        <w:rPr>
          <w:rFonts w:hint="eastAsia" w:ascii="仿宋_GB2312" w:hAnsi="仿宋_GB2312" w:eastAsia="仿宋_GB2312" w:cs="仿宋_GB2312"/>
          <w:color w:val="auto"/>
          <w:sz w:val="30"/>
          <w:szCs w:val="30"/>
          <w:highlight w:val="none"/>
        </w:rPr>
        <w:t>规定予以处置。</w:t>
      </w:r>
    </w:p>
    <w:p w14:paraId="2E6E71EE">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死亡认定：古树名木必须同时满足以下3个条件时方可确认死亡：一是树冠所有枝条（包括分枝、侧枝、大枝）全部死亡；二是树皮全部死亡无隐芽萌发；三是主根全部死亡，且无根蘖萌发。当年发现古树名木死亡的不予确认，待3年后再进行判定。若对公众生命安全、财产安全可能造成重大伤害的，应及时采取防护措施消除安全隐患。</w:t>
      </w:r>
    </w:p>
    <w:p w14:paraId="012005DA">
      <w:pPr>
        <w:keepNext w:val="0"/>
        <w:keepLines w:val="0"/>
        <w:pageBreakBefore w:val="0"/>
        <w:kinsoku/>
        <w:wordWrap/>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处置流程：日常养护责任人发现古树名木疑似死亡的，应立即报告县级古树名木主管部门，由县级古树名木主管部门组织专家进行</w:t>
      </w:r>
      <w:r>
        <w:rPr>
          <w:rFonts w:hint="eastAsia" w:ascii="仿宋_GB2312" w:hAnsi="仿宋_GB2312" w:eastAsia="仿宋_GB2312" w:cs="仿宋_GB2312"/>
          <w:color w:val="auto"/>
          <w:sz w:val="30"/>
          <w:szCs w:val="30"/>
          <w:highlight w:val="none"/>
          <w:lang w:eastAsia="zh-CN"/>
        </w:rPr>
        <w:t>现场</w:t>
      </w:r>
      <w:r>
        <w:rPr>
          <w:rFonts w:hint="eastAsia" w:ascii="仿宋_GB2312" w:hAnsi="仿宋_GB2312" w:eastAsia="仿宋_GB2312" w:cs="仿宋_GB2312"/>
          <w:color w:val="auto"/>
          <w:sz w:val="30"/>
          <w:szCs w:val="30"/>
          <w:highlight w:val="none"/>
        </w:rPr>
        <w:t>调查核实、查明死亡原因、提出初步处置意见，并按照该古树名木的认定管理权限逐级上报</w:t>
      </w:r>
      <w:r>
        <w:rPr>
          <w:rFonts w:hint="eastAsia" w:ascii="仿宋_GB2312" w:hAnsi="仿宋_GB2312" w:eastAsia="仿宋_GB2312" w:cs="仿宋_GB2312"/>
          <w:color w:val="auto"/>
          <w:sz w:val="30"/>
          <w:szCs w:val="30"/>
          <w:highlight w:val="none"/>
          <w:lang w:eastAsia="zh-CN"/>
        </w:rPr>
        <w:t>；相应的</w:t>
      </w:r>
      <w:r>
        <w:rPr>
          <w:rFonts w:hint="eastAsia" w:ascii="仿宋_GB2312" w:hAnsi="仿宋_GB2312" w:eastAsia="仿宋_GB2312" w:cs="仿宋_GB2312"/>
          <w:color w:val="auto"/>
          <w:sz w:val="30"/>
          <w:szCs w:val="30"/>
          <w:highlight w:val="none"/>
        </w:rPr>
        <w:t>古树名木主管部门组织确认，提出最终处置意见，报</w:t>
      </w:r>
      <w:r>
        <w:rPr>
          <w:rFonts w:hint="eastAsia" w:ascii="仿宋_GB2312" w:hAnsi="仿宋_GB2312" w:eastAsia="仿宋_GB2312" w:cs="仿宋_GB2312"/>
          <w:color w:val="auto"/>
          <w:sz w:val="30"/>
          <w:szCs w:val="30"/>
          <w:highlight w:val="none"/>
          <w:lang w:eastAsia="zh-CN"/>
        </w:rPr>
        <w:t>同</w:t>
      </w:r>
      <w:r>
        <w:rPr>
          <w:rFonts w:hint="eastAsia" w:ascii="仿宋_GB2312" w:hAnsi="仿宋_GB2312" w:eastAsia="仿宋_GB2312" w:cs="仿宋_GB2312"/>
          <w:color w:val="auto"/>
          <w:sz w:val="30"/>
          <w:szCs w:val="30"/>
          <w:highlight w:val="none"/>
        </w:rPr>
        <w:t>级人民政府。</w:t>
      </w:r>
    </w:p>
    <w:p w14:paraId="7EBDA360">
      <w:pPr>
        <w:keepNext w:val="0"/>
        <w:keepLines w:val="0"/>
        <w:pageBreakBefore w:val="0"/>
        <w:kinsoku/>
        <w:wordWrap/>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sz w:val="30"/>
          <w:szCs w:val="30"/>
        </w:rPr>
        <w:t>处置方式：古树确认死亡后，由</w:t>
      </w:r>
      <w:bookmarkStart w:id="0" w:name="OLE_LINK5"/>
      <w:bookmarkStart w:id="1" w:name="OLE_LINK4"/>
      <w:r>
        <w:rPr>
          <w:rFonts w:hint="eastAsia" w:ascii="仿宋_GB2312" w:hAnsi="仿宋_GB2312" w:eastAsia="仿宋_GB2312" w:cs="仿宋_GB2312"/>
          <w:sz w:val="30"/>
          <w:szCs w:val="30"/>
        </w:rPr>
        <w:t>县级古树名木主管部门</w:t>
      </w:r>
      <w:bookmarkEnd w:id="0"/>
      <w:bookmarkEnd w:id="1"/>
      <w:r>
        <w:rPr>
          <w:rFonts w:hint="eastAsia" w:ascii="仿宋_GB2312" w:hAnsi="仿宋_GB2312" w:eastAsia="仿宋_GB2312" w:cs="仿宋_GB2312"/>
          <w:sz w:val="30"/>
          <w:szCs w:val="30"/>
        </w:rPr>
        <w:t>予以注销。需要采伐死树的，按一般林木办理采伐证，实行凭证采伐。但具有重要景观、文化、科研价值的，应采取相应措施予以保留。</w:t>
      </w:r>
    </w:p>
    <w:p w14:paraId="4ADC6BFE">
      <w:pPr>
        <w:keepNext w:val="0"/>
        <w:keepLines w:val="0"/>
        <w:pageBreakBefore w:val="0"/>
        <w:kinsoku/>
        <w:wordWrap/>
        <w:topLinePunct w:val="0"/>
        <w:autoSpaceDE/>
        <w:autoSpaceDN/>
        <w:bidi w:val="0"/>
        <w:adjustRightInd/>
        <w:snapToGrid/>
        <w:spacing w:line="600" w:lineRule="exact"/>
        <w:ind w:firstLine="602" w:firstLineChars="200"/>
        <w:textAlignment w:val="auto"/>
        <w:outlineLvl w:val="0"/>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三、日常</w:t>
      </w:r>
      <w:r>
        <w:rPr>
          <w:rFonts w:hint="eastAsia" w:ascii="仿宋_GB2312" w:hAnsi="仿宋_GB2312" w:eastAsia="仿宋_GB2312" w:cs="仿宋_GB2312"/>
          <w:b/>
          <w:bCs/>
          <w:color w:val="auto"/>
          <w:sz w:val="30"/>
          <w:szCs w:val="30"/>
          <w:highlight w:val="none"/>
          <w:lang w:eastAsia="zh-CN"/>
        </w:rPr>
        <w:t>养护</w:t>
      </w:r>
      <w:r>
        <w:rPr>
          <w:rFonts w:hint="eastAsia" w:ascii="仿宋_GB2312" w:hAnsi="仿宋_GB2312" w:eastAsia="仿宋_GB2312" w:cs="仿宋_GB2312"/>
          <w:b/>
          <w:bCs/>
          <w:color w:val="auto"/>
          <w:sz w:val="30"/>
          <w:szCs w:val="30"/>
          <w:highlight w:val="none"/>
        </w:rPr>
        <w:t>和专业养护</w:t>
      </w:r>
    </w:p>
    <w:p w14:paraId="0FC94512">
      <w:pPr>
        <w:keepNext w:val="0"/>
        <w:keepLines w:val="0"/>
        <w:pageBreakBefore w:val="0"/>
        <w:widowControl/>
        <w:kinsoku/>
        <w:wordWrap/>
        <w:topLinePunct w:val="0"/>
        <w:autoSpaceDE/>
        <w:autoSpaceDN/>
        <w:bidi w:val="0"/>
        <w:adjustRightInd/>
        <w:snapToGrid/>
        <w:spacing w:line="600" w:lineRule="exact"/>
        <w:ind w:firstLine="602" w:firstLineChars="200"/>
        <w:jc w:val="both"/>
        <w:textAlignment w:val="auto"/>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九</w:t>
      </w:r>
      <w:r>
        <w:rPr>
          <w:rFonts w:hint="eastAsia" w:ascii="仿宋_GB2312" w:hAnsi="仿宋_GB2312" w:eastAsia="仿宋_GB2312" w:cs="仿宋_GB2312"/>
          <w:b/>
          <w:bCs/>
          <w:color w:val="auto"/>
          <w:sz w:val="30"/>
          <w:szCs w:val="30"/>
          <w:highlight w:val="none"/>
        </w:rPr>
        <w:t>）日常</w:t>
      </w:r>
      <w:r>
        <w:rPr>
          <w:rFonts w:hint="eastAsia" w:ascii="仿宋_GB2312" w:hAnsi="仿宋_GB2312" w:eastAsia="仿宋_GB2312" w:cs="仿宋_GB2312"/>
          <w:b/>
          <w:bCs/>
          <w:color w:val="auto"/>
          <w:sz w:val="30"/>
          <w:szCs w:val="30"/>
          <w:highlight w:val="none"/>
          <w:lang w:eastAsia="zh-CN"/>
        </w:rPr>
        <w:t>养护</w:t>
      </w: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color w:val="auto"/>
          <w:sz w:val="30"/>
          <w:szCs w:val="30"/>
          <w:highlight w:val="none"/>
        </w:rPr>
        <w:t>日常</w:t>
      </w:r>
      <w:r>
        <w:rPr>
          <w:rFonts w:hint="eastAsia" w:ascii="仿宋_GB2312" w:hAnsi="仿宋_GB2312" w:eastAsia="仿宋_GB2312" w:cs="仿宋_GB2312"/>
          <w:color w:val="auto"/>
          <w:sz w:val="30"/>
          <w:szCs w:val="30"/>
          <w:highlight w:val="none"/>
          <w:lang w:eastAsia="zh-CN"/>
        </w:rPr>
        <w:t>养护</w:t>
      </w:r>
      <w:r>
        <w:rPr>
          <w:rFonts w:hint="eastAsia" w:ascii="仿宋_GB2312" w:hAnsi="仿宋_GB2312" w:eastAsia="仿宋_GB2312" w:cs="仿宋_GB2312"/>
          <w:color w:val="auto"/>
          <w:sz w:val="30"/>
          <w:szCs w:val="30"/>
          <w:highlight w:val="none"/>
        </w:rPr>
        <w:t>由养护责任人负责</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主要包括日常巡护、补水与排水、设施维护、应急排险等措施。</w:t>
      </w:r>
      <w:r>
        <w:rPr>
          <w:rFonts w:hint="eastAsia" w:ascii="仿宋_GB2312" w:hAnsi="仿宋_GB2312" w:eastAsia="仿宋_GB2312" w:cs="仿宋_GB2312"/>
          <w:color w:val="auto"/>
          <w:sz w:val="30"/>
          <w:szCs w:val="30"/>
          <w:highlight w:val="none"/>
          <w:lang w:eastAsia="zh-CN"/>
        </w:rPr>
        <w:t>乡镇、街道应当指导养护责任人做好日常养护工作，古树名木主管部门可以根据养护情况给予养护责任人适当补助</w:t>
      </w:r>
      <w:r>
        <w:rPr>
          <w:rFonts w:hint="eastAsia" w:ascii="仿宋_GB2312" w:hAnsi="仿宋_GB2312" w:eastAsia="仿宋_GB2312" w:cs="仿宋_GB2312"/>
          <w:color w:val="auto"/>
          <w:sz w:val="30"/>
          <w:szCs w:val="30"/>
          <w:highlight w:val="none"/>
        </w:rPr>
        <w:t>。</w:t>
      </w:r>
    </w:p>
    <w:p w14:paraId="7F3573F0">
      <w:pPr>
        <w:keepNext w:val="0"/>
        <w:keepLines w:val="0"/>
        <w:pageBreakBefore w:val="0"/>
        <w:widowControl/>
        <w:kinsoku/>
        <w:wordWrap/>
        <w:topLinePunct w:val="0"/>
        <w:autoSpaceDE/>
        <w:autoSpaceDN/>
        <w:bidi w:val="0"/>
        <w:adjustRightInd/>
        <w:snapToGrid/>
        <w:spacing w:line="600" w:lineRule="exact"/>
        <w:ind w:firstLine="600" w:firstLineChars="200"/>
        <w:jc w:val="both"/>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频次。一级保护管理古树名木至少每季度</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1次；二级保护管理古树至少每半年</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1</w:t>
      </w:r>
      <w:r>
        <w:rPr>
          <w:rFonts w:ascii="仿宋_GB2312" w:hAnsi="仿宋_GB2312" w:eastAsia="仿宋_GB2312" w:cs="仿宋_GB2312"/>
          <w:color w:val="auto"/>
          <w:sz w:val="30"/>
          <w:szCs w:val="30"/>
          <w:highlight w:val="none"/>
        </w:rPr>
        <w:t>次；三级保护</w:t>
      </w:r>
      <w:r>
        <w:rPr>
          <w:rFonts w:hint="eastAsia" w:ascii="仿宋_GB2312" w:hAnsi="仿宋_GB2312" w:eastAsia="仿宋_GB2312" w:cs="仿宋_GB2312"/>
          <w:color w:val="auto"/>
          <w:sz w:val="30"/>
          <w:szCs w:val="30"/>
          <w:highlight w:val="none"/>
        </w:rPr>
        <w:t>管理</w:t>
      </w:r>
      <w:r>
        <w:rPr>
          <w:rFonts w:ascii="仿宋_GB2312" w:hAnsi="仿宋_GB2312" w:eastAsia="仿宋_GB2312" w:cs="仿宋_GB2312"/>
          <w:color w:val="auto"/>
          <w:sz w:val="30"/>
          <w:szCs w:val="30"/>
          <w:highlight w:val="none"/>
        </w:rPr>
        <w:t>古</w:t>
      </w:r>
      <w:r>
        <w:rPr>
          <w:rFonts w:hint="eastAsia" w:ascii="仿宋_GB2312" w:hAnsi="仿宋_GB2312" w:eastAsia="仿宋_GB2312" w:cs="仿宋_GB2312"/>
          <w:color w:val="auto"/>
          <w:sz w:val="30"/>
          <w:szCs w:val="30"/>
          <w:highlight w:val="none"/>
        </w:rPr>
        <w:t>树至少每年</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1</w:t>
      </w:r>
      <w:r>
        <w:rPr>
          <w:rFonts w:ascii="仿宋_GB2312" w:hAnsi="仿宋_GB2312" w:eastAsia="仿宋_GB2312" w:cs="仿宋_GB2312"/>
          <w:color w:val="auto"/>
          <w:sz w:val="30"/>
          <w:szCs w:val="30"/>
          <w:highlight w:val="none"/>
        </w:rPr>
        <w:t>次；古树群</w:t>
      </w:r>
      <w:r>
        <w:rPr>
          <w:rFonts w:hint="eastAsia" w:ascii="仿宋_GB2312" w:hAnsi="仿宋_GB2312" w:eastAsia="仿宋_GB2312" w:cs="仿宋_GB2312"/>
          <w:color w:val="auto"/>
          <w:sz w:val="30"/>
          <w:szCs w:val="30"/>
          <w:highlight w:val="none"/>
        </w:rPr>
        <w:t>至少每季度</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1</w:t>
      </w:r>
      <w:r>
        <w:rPr>
          <w:rFonts w:ascii="仿宋_GB2312" w:hAnsi="仿宋_GB2312" w:eastAsia="仿宋_GB2312" w:cs="仿宋_GB2312"/>
          <w:color w:val="auto"/>
          <w:sz w:val="30"/>
          <w:szCs w:val="30"/>
          <w:highlight w:val="none"/>
        </w:rPr>
        <w:t>次，</w:t>
      </w:r>
      <w:r>
        <w:rPr>
          <w:rFonts w:hint="eastAsia" w:ascii="仿宋_GB2312" w:hAnsi="仿宋_GB2312" w:eastAsia="仿宋_GB2312" w:cs="仿宋_GB2312"/>
          <w:color w:val="auto"/>
          <w:sz w:val="30"/>
          <w:szCs w:val="30"/>
          <w:highlight w:val="none"/>
        </w:rPr>
        <w:t>在冬季、旱季至少每月进行1次防火</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；处于建设项目范围内的古树名木至少每月</w:t>
      </w: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1次；移植后的古树名木需在五年</w:t>
      </w:r>
      <w:r>
        <w:rPr>
          <w:rFonts w:hint="default" w:ascii="仿宋_GB2312" w:hAnsi="仿宋_GB2312" w:eastAsia="仿宋_GB2312" w:cs="仿宋_GB2312"/>
          <w:color w:val="auto"/>
          <w:sz w:val="30"/>
          <w:szCs w:val="30"/>
          <w:highlight w:val="none"/>
          <w:lang w:eastAsia="zh-CN"/>
        </w:rPr>
        <w:t>养护</w:t>
      </w:r>
      <w:r>
        <w:rPr>
          <w:rFonts w:hint="eastAsia" w:ascii="仿宋_GB2312" w:hAnsi="仿宋_GB2312" w:eastAsia="仿宋_GB2312" w:cs="仿宋_GB2312"/>
          <w:color w:val="auto"/>
          <w:sz w:val="30"/>
          <w:szCs w:val="30"/>
          <w:highlight w:val="none"/>
        </w:rPr>
        <w:t>期</w:t>
      </w:r>
      <w:r>
        <w:rPr>
          <w:rFonts w:ascii="仿宋_GB2312" w:hAnsi="仿宋_GB2312" w:eastAsia="仿宋_GB2312" w:cs="仿宋_GB2312"/>
          <w:color w:val="auto"/>
          <w:sz w:val="30"/>
          <w:szCs w:val="30"/>
          <w:highlight w:val="none"/>
        </w:rPr>
        <w:t>内</w:t>
      </w:r>
      <w:r>
        <w:rPr>
          <w:rFonts w:hint="eastAsia" w:ascii="仿宋_GB2312" w:hAnsi="仿宋_GB2312" w:eastAsia="仿宋_GB2312" w:cs="仿宋_GB2312"/>
          <w:color w:val="auto"/>
          <w:sz w:val="30"/>
          <w:szCs w:val="30"/>
          <w:highlight w:val="none"/>
        </w:rPr>
        <w:t>至少</w:t>
      </w:r>
      <w:r>
        <w:rPr>
          <w:rFonts w:ascii="仿宋_GB2312" w:hAnsi="仿宋_GB2312" w:eastAsia="仿宋_GB2312" w:cs="仿宋_GB2312"/>
          <w:color w:val="auto"/>
          <w:sz w:val="30"/>
          <w:szCs w:val="30"/>
          <w:highlight w:val="none"/>
        </w:rPr>
        <w:t>每月</w:t>
      </w:r>
      <w:r>
        <w:rPr>
          <w:rFonts w:hint="eastAsia" w:ascii="仿宋_GB2312" w:hAnsi="仿宋_GB2312" w:eastAsia="仿宋_GB2312" w:cs="仿宋_GB2312"/>
          <w:color w:val="auto"/>
          <w:sz w:val="30"/>
          <w:szCs w:val="30"/>
          <w:highlight w:val="none"/>
          <w:lang w:eastAsia="zh-CN"/>
        </w:rPr>
        <w:t>巡护</w:t>
      </w:r>
      <w:r>
        <w:rPr>
          <w:rFonts w:ascii="仿宋_GB2312" w:hAnsi="仿宋_GB2312" w:eastAsia="仿宋_GB2312" w:cs="仿宋_GB2312"/>
          <w:color w:val="auto"/>
          <w:sz w:val="30"/>
          <w:szCs w:val="30"/>
          <w:highlight w:val="none"/>
        </w:rPr>
        <w:t>1次</w:t>
      </w:r>
      <w:r>
        <w:rPr>
          <w:rFonts w:hint="eastAsia" w:ascii="仿宋_GB2312" w:hAnsi="仿宋_GB2312" w:eastAsia="仿宋_GB2312" w:cs="仿宋_GB2312"/>
          <w:color w:val="auto"/>
          <w:sz w:val="30"/>
          <w:szCs w:val="30"/>
          <w:highlight w:val="none"/>
        </w:rPr>
        <w:t>；</w:t>
      </w:r>
      <w:r>
        <w:rPr>
          <w:rFonts w:ascii="仿宋_GB2312" w:hAnsi="仿宋_GB2312" w:eastAsia="仿宋_GB2312" w:cs="仿宋_GB2312"/>
          <w:color w:val="auto"/>
          <w:sz w:val="30"/>
          <w:szCs w:val="30"/>
          <w:highlight w:val="none"/>
        </w:rPr>
        <w:t>极端灾害性天气现象</w:t>
      </w:r>
      <w:r>
        <w:rPr>
          <w:rFonts w:hint="default" w:ascii="仿宋_GB2312" w:hAnsi="仿宋_GB2312" w:eastAsia="仿宋_GB2312" w:cs="仿宋_GB2312"/>
          <w:color w:val="auto"/>
          <w:kern w:val="2"/>
          <w:sz w:val="30"/>
          <w:szCs w:val="30"/>
          <w:highlight w:val="none"/>
          <w:lang w:bidi="ar"/>
        </w:rPr>
        <w:t>前后应按要求开展古树名木预警</w:t>
      </w:r>
      <w:r>
        <w:rPr>
          <w:rFonts w:hint="eastAsia" w:ascii="仿宋_GB2312" w:hAnsi="仿宋_GB2312" w:eastAsia="仿宋_GB2312" w:cs="仿宋_GB2312"/>
          <w:color w:val="auto"/>
          <w:sz w:val="30"/>
          <w:szCs w:val="30"/>
          <w:highlight w:val="none"/>
          <w:lang w:eastAsia="zh-CN"/>
        </w:rPr>
        <w:t>巡护</w:t>
      </w:r>
      <w:r>
        <w:rPr>
          <w:rFonts w:hint="default" w:ascii="仿宋_GB2312" w:hAnsi="仿宋_GB2312" w:eastAsia="仿宋_GB2312" w:cs="仿宋_GB2312"/>
          <w:color w:val="auto"/>
          <w:kern w:val="2"/>
          <w:sz w:val="30"/>
          <w:szCs w:val="30"/>
          <w:highlight w:val="none"/>
          <w:lang w:bidi="ar"/>
        </w:rPr>
        <w:t>和灾后</w:t>
      </w:r>
      <w:r>
        <w:rPr>
          <w:rFonts w:hint="eastAsia" w:ascii="仿宋_GB2312" w:hAnsi="仿宋_GB2312" w:eastAsia="仿宋_GB2312" w:cs="仿宋_GB2312"/>
          <w:color w:val="auto"/>
          <w:sz w:val="30"/>
          <w:szCs w:val="30"/>
          <w:highlight w:val="none"/>
          <w:lang w:eastAsia="zh-CN"/>
        </w:rPr>
        <w:t>巡护</w:t>
      </w:r>
      <w:r>
        <w:rPr>
          <w:rFonts w:hint="default" w:ascii="仿宋_GB2312" w:hAnsi="仿宋_GB2312" w:eastAsia="仿宋_GB2312" w:cs="仿宋_GB2312"/>
          <w:color w:val="auto"/>
          <w:kern w:val="2"/>
          <w:sz w:val="30"/>
          <w:szCs w:val="30"/>
          <w:highlight w:val="none"/>
          <w:lang w:bidi="ar"/>
        </w:rPr>
        <w:t>。</w:t>
      </w:r>
    </w:p>
    <w:p w14:paraId="70681F24">
      <w:pPr>
        <w:keepNext w:val="0"/>
        <w:keepLines w:val="0"/>
        <w:pageBreakBefore w:val="0"/>
        <w:widowControl/>
        <w:kinsoku/>
        <w:wordWrap/>
        <w:topLinePunct w:val="0"/>
        <w:autoSpaceDE/>
        <w:autoSpaceDN/>
        <w:bidi w:val="0"/>
        <w:adjustRightInd/>
        <w:snapToGrid/>
        <w:spacing w:line="600" w:lineRule="exact"/>
        <w:ind w:firstLine="600" w:firstLineChars="200"/>
        <w:jc w:val="both"/>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lang w:eastAsia="zh-CN"/>
        </w:rPr>
        <w:t>巡护</w:t>
      </w:r>
      <w:r>
        <w:rPr>
          <w:rFonts w:hint="eastAsia" w:ascii="仿宋_GB2312" w:hAnsi="仿宋_GB2312" w:eastAsia="仿宋_GB2312" w:cs="仿宋_GB2312"/>
          <w:color w:val="auto"/>
          <w:sz w:val="30"/>
          <w:szCs w:val="30"/>
          <w:highlight w:val="none"/>
        </w:rPr>
        <w:t>内容。生长状况：包括主干、大枝是否有树洞或腐烂，主干是否倾斜，树叶是否有萎蔫现象或受损痕迹，是否有有害生物分布，干、枝、叶、花、果，是否有异常物候变化等</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古树名木保护范围及周边环境：包括保护设施是否损坏，是否有硬化铺装及电力设施、是否存在地质灾害隐患等</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人为损害情况：包括在树上刻划、张贴或者悬挂物品；在施工作业时以树木作为支撑物或者固定物；攀树、折枝、挖根或者剥损树枝、树干、树皮；设置建筑物、构筑物、管线等设施，燃烧明火、堆放重物、倾倒易燃易爆或者有毒有害物品等；擅自移植、砍伐、买卖运输古树名木等。</w:t>
      </w:r>
    </w:p>
    <w:p w14:paraId="3705B6CA">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十</w:t>
      </w:r>
      <w:r>
        <w:rPr>
          <w:rFonts w:hint="eastAsia" w:ascii="仿宋_GB2312" w:hAnsi="仿宋_GB2312" w:eastAsia="仿宋_GB2312" w:cs="仿宋_GB2312"/>
          <w:b/>
          <w:bCs/>
          <w:color w:val="auto"/>
          <w:sz w:val="30"/>
          <w:szCs w:val="30"/>
          <w:highlight w:val="none"/>
        </w:rPr>
        <w:t>）专业养护。</w:t>
      </w:r>
      <w:r>
        <w:rPr>
          <w:rFonts w:hint="eastAsia" w:ascii="仿宋_GB2312" w:hAnsi="仿宋_GB2312" w:eastAsia="仿宋_GB2312" w:cs="仿宋_GB2312"/>
          <w:color w:val="auto"/>
          <w:sz w:val="30"/>
          <w:szCs w:val="30"/>
          <w:highlight w:val="none"/>
        </w:rPr>
        <w:t>专业养护由县级古树名木主管部门组织开展，根据“一树一策”要求，制定养护方案。</w:t>
      </w:r>
    </w:p>
    <w:p w14:paraId="010C3215">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一级、二级保护管理的古树名木，制定的专业养护方案</w:t>
      </w:r>
      <w:r>
        <w:rPr>
          <w:rFonts w:hint="eastAsia" w:ascii="仿宋_GB2312" w:hAnsi="仿宋_GB2312" w:eastAsia="仿宋_GB2312" w:cs="仿宋_GB2312"/>
          <w:color w:val="auto"/>
          <w:sz w:val="30"/>
          <w:szCs w:val="30"/>
          <w:highlight w:val="none"/>
          <w:lang w:eastAsia="zh-CN"/>
        </w:rPr>
        <w:t>经专家评审后</w:t>
      </w:r>
      <w:r>
        <w:rPr>
          <w:rFonts w:hint="eastAsia" w:ascii="仿宋_GB2312" w:hAnsi="仿宋_GB2312" w:eastAsia="仿宋_GB2312" w:cs="仿宋_GB2312"/>
          <w:color w:val="auto"/>
          <w:sz w:val="30"/>
          <w:szCs w:val="30"/>
          <w:highlight w:val="none"/>
        </w:rPr>
        <w:t>报市级古树名木主管部门</w:t>
      </w:r>
      <w:r>
        <w:rPr>
          <w:rFonts w:hint="eastAsia" w:ascii="仿宋_GB2312" w:hAnsi="仿宋_GB2312" w:eastAsia="仿宋_GB2312" w:cs="仿宋_GB2312"/>
          <w:color w:val="auto"/>
          <w:sz w:val="30"/>
          <w:szCs w:val="30"/>
          <w:highlight w:val="none"/>
          <w:lang w:eastAsia="zh-CN"/>
        </w:rPr>
        <w:t>备案</w:t>
      </w:r>
      <w:r>
        <w:rPr>
          <w:rFonts w:hint="eastAsia" w:ascii="仿宋_GB2312" w:hAnsi="仿宋_GB2312" w:eastAsia="仿宋_GB2312" w:cs="仿宋_GB2312"/>
          <w:color w:val="auto"/>
          <w:sz w:val="30"/>
          <w:szCs w:val="30"/>
          <w:highlight w:val="none"/>
        </w:rPr>
        <w:t>，由</w:t>
      </w:r>
      <w:r>
        <w:rPr>
          <w:rFonts w:hint="eastAsia" w:ascii="仿宋_GB2312" w:hAnsi="仿宋_GB2312" w:eastAsia="仿宋_GB2312" w:cs="仿宋_GB2312"/>
          <w:color w:val="auto"/>
          <w:sz w:val="30"/>
          <w:szCs w:val="30"/>
          <w:highlight w:val="none"/>
          <w:lang w:eastAsia="zh-CN"/>
        </w:rPr>
        <w:t>县</w:t>
      </w:r>
      <w:r>
        <w:rPr>
          <w:rFonts w:hint="eastAsia" w:ascii="仿宋_GB2312" w:hAnsi="仿宋_GB2312" w:eastAsia="仿宋_GB2312" w:cs="仿宋_GB2312"/>
          <w:color w:val="auto"/>
          <w:sz w:val="30"/>
          <w:szCs w:val="30"/>
          <w:highlight w:val="none"/>
        </w:rPr>
        <w:t>级古树名木主管部门</w:t>
      </w:r>
      <w:r>
        <w:rPr>
          <w:rFonts w:hint="eastAsia" w:ascii="仿宋_GB2312" w:hAnsi="仿宋_GB2312" w:eastAsia="仿宋_GB2312" w:cs="仿宋_GB2312"/>
          <w:color w:val="auto"/>
          <w:sz w:val="30"/>
          <w:szCs w:val="30"/>
          <w:highlight w:val="none"/>
          <w:lang w:eastAsia="zh-CN"/>
        </w:rPr>
        <w:t>组织实施；</w:t>
      </w:r>
      <w:r>
        <w:rPr>
          <w:rFonts w:hint="eastAsia" w:ascii="仿宋_GB2312" w:hAnsi="仿宋_GB2312" w:eastAsia="仿宋_GB2312" w:cs="仿宋_GB2312"/>
          <w:color w:val="auto"/>
          <w:sz w:val="30"/>
          <w:szCs w:val="30"/>
          <w:highlight w:val="none"/>
        </w:rPr>
        <w:t>三级保护管理的古树，制定的专业养护方案</w:t>
      </w:r>
      <w:r>
        <w:rPr>
          <w:rFonts w:hint="eastAsia" w:ascii="仿宋_GB2312" w:hAnsi="仿宋_GB2312" w:eastAsia="仿宋_GB2312" w:cs="仿宋_GB2312"/>
          <w:color w:val="auto"/>
          <w:sz w:val="30"/>
          <w:szCs w:val="30"/>
          <w:highlight w:val="none"/>
          <w:lang w:eastAsia="zh-CN"/>
        </w:rPr>
        <w:t>由</w:t>
      </w:r>
      <w:r>
        <w:rPr>
          <w:rFonts w:hint="eastAsia" w:ascii="仿宋_GB2312" w:hAnsi="仿宋_GB2312" w:eastAsia="仿宋_GB2312" w:cs="仿宋_GB2312"/>
          <w:color w:val="auto"/>
          <w:sz w:val="30"/>
          <w:szCs w:val="30"/>
          <w:highlight w:val="none"/>
        </w:rPr>
        <w:t>县级古树名木主管部门审查后开展专业养护。</w:t>
      </w:r>
    </w:p>
    <w:p w14:paraId="7C5C3992">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一</w:t>
      </w:r>
      <w:r>
        <w:rPr>
          <w:rFonts w:hint="eastAsia" w:ascii="仿宋_GB2312" w:hAnsi="仿宋_GB2312" w:eastAsia="仿宋_GB2312" w:cs="仿宋_GB2312"/>
          <w:b/>
          <w:bCs/>
          <w:color w:val="auto"/>
          <w:sz w:val="30"/>
          <w:szCs w:val="30"/>
          <w:highlight w:val="none"/>
        </w:rPr>
        <w:t>）健康监测</w:t>
      </w:r>
    </w:p>
    <w:p w14:paraId="4717F28E">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古树名木健康监测由各级古树名木主管部门组织开展，主要针对生长势衰弱、濒危或生长异常的古树名木进行健康监测，作</w:t>
      </w:r>
      <w:r>
        <w:rPr>
          <w:rFonts w:ascii="仿宋_GB2312" w:hAnsi="仿宋_GB2312" w:eastAsia="仿宋_GB2312" w:cs="仿宋_GB2312"/>
          <w:color w:val="auto"/>
          <w:sz w:val="30"/>
          <w:szCs w:val="30"/>
          <w:highlight w:val="none"/>
        </w:rPr>
        <w:t>为</w:t>
      </w:r>
      <w:r>
        <w:rPr>
          <w:rFonts w:hint="eastAsia" w:ascii="仿宋_GB2312" w:hAnsi="仿宋_GB2312" w:eastAsia="仿宋_GB2312" w:cs="仿宋_GB2312"/>
          <w:color w:val="auto"/>
          <w:sz w:val="30"/>
          <w:szCs w:val="30"/>
          <w:highlight w:val="none"/>
        </w:rPr>
        <w:t>编制专业养护方案的基础资料和科学依据。</w:t>
      </w:r>
    </w:p>
    <w:p w14:paraId="69018F72">
      <w:pPr>
        <w:keepNext w:val="0"/>
        <w:keepLines w:val="0"/>
        <w:pageBreakBefore w:val="0"/>
        <w:kinsoku/>
        <w:wordWrap/>
        <w:topLinePunct w:val="0"/>
        <w:autoSpaceDE/>
        <w:autoSpaceDN/>
        <w:bidi w:val="0"/>
        <w:adjustRightInd/>
        <w:snapToGrid/>
        <w:spacing w:line="600" w:lineRule="exact"/>
        <w:ind w:firstLine="600"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color w:val="auto"/>
          <w:sz w:val="30"/>
          <w:szCs w:val="30"/>
          <w:highlight w:val="none"/>
        </w:rPr>
        <w:t>生长势</w:t>
      </w:r>
      <w:r>
        <w:rPr>
          <w:rFonts w:hint="eastAsia" w:ascii="仿宋_GB2312" w:hAnsi="仿宋_GB2312" w:eastAsia="仿宋_GB2312" w:cs="仿宋_GB2312"/>
          <w:color w:val="auto"/>
          <w:sz w:val="30"/>
          <w:szCs w:val="30"/>
          <w:highlight w:val="none"/>
          <w:lang w:eastAsia="zh-CN"/>
        </w:rPr>
        <w:t>濒危的古树，以及</w:t>
      </w:r>
      <w:r>
        <w:rPr>
          <w:rFonts w:hint="eastAsia" w:ascii="仿宋_GB2312" w:hAnsi="仿宋_GB2312" w:eastAsia="仿宋_GB2312" w:cs="仿宋_GB2312"/>
          <w:color w:val="auto"/>
          <w:sz w:val="30"/>
          <w:szCs w:val="30"/>
          <w:highlight w:val="none"/>
        </w:rPr>
        <w:t>衰弱的一级保护古树每年进一轮健康监测，生长势衰弱的二级、三级古树每3年进行一轮健康监测。</w:t>
      </w:r>
    </w:p>
    <w:p w14:paraId="7022D4C6">
      <w:pPr>
        <w:keepNext w:val="0"/>
        <w:keepLines w:val="0"/>
        <w:pageBreakBefore w:val="0"/>
        <w:kinsoku/>
        <w:wordWrap/>
        <w:topLinePunct w:val="0"/>
        <w:autoSpaceDE/>
        <w:autoSpaceDN/>
        <w:bidi w:val="0"/>
        <w:adjustRightInd/>
        <w:snapToGrid/>
        <w:spacing w:line="600" w:lineRule="exact"/>
        <w:ind w:firstLine="602" w:firstLineChars="200"/>
        <w:textAlignment w:val="auto"/>
        <w:outlineLvl w:val="0"/>
        <w:rPr>
          <w:rFonts w:ascii="仿宋_GB2312" w:hAnsi="仿宋_GB2312" w:eastAsia="仿宋_GB2312" w:cs="仿宋_GB2312"/>
          <w:b/>
          <w:bCs/>
          <w:color w:val="auto"/>
          <w:sz w:val="30"/>
          <w:szCs w:val="30"/>
          <w:highlight w:val="none"/>
        </w:rPr>
      </w:pPr>
      <w:r>
        <w:rPr>
          <w:rFonts w:hint="eastAsia" w:ascii="仿宋_GB2312" w:hAnsi="仿宋_GB2312" w:eastAsia="仿宋_GB2312" w:cs="仿宋_GB2312"/>
          <w:b/>
          <w:bCs/>
          <w:color w:val="auto"/>
          <w:sz w:val="30"/>
          <w:szCs w:val="30"/>
          <w:highlight w:val="none"/>
        </w:rPr>
        <w:t>四、监管机制</w:t>
      </w:r>
    </w:p>
    <w:p w14:paraId="3F5BC17C">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二</w:t>
      </w:r>
      <w:r>
        <w:rPr>
          <w:rFonts w:hint="eastAsia" w:ascii="仿宋_GB2312" w:hAnsi="仿宋_GB2312" w:eastAsia="仿宋_GB2312" w:cs="仿宋_GB2312"/>
          <w:b/>
          <w:bCs/>
          <w:color w:val="auto"/>
          <w:sz w:val="30"/>
          <w:szCs w:val="30"/>
          <w:highlight w:val="none"/>
        </w:rPr>
        <w:t>）建立监督管理制度。</w:t>
      </w:r>
      <w:r>
        <w:rPr>
          <w:rFonts w:hint="eastAsia" w:ascii="仿宋_GB2312" w:hAnsi="仿宋_GB2312" w:eastAsia="仿宋_GB2312" w:cs="仿宋_GB2312"/>
          <w:color w:val="auto"/>
          <w:sz w:val="30"/>
          <w:szCs w:val="30"/>
          <w:highlight w:val="none"/>
        </w:rPr>
        <w:t>结合林长制工作建立古树名木保护监管制度</w:t>
      </w:r>
      <w:r>
        <w:rPr>
          <w:rFonts w:hint="eastAsia" w:ascii="仿宋_GB2312" w:hAnsi="仿宋_GB2312" w:eastAsia="仿宋_GB2312" w:cs="仿宋_GB2312"/>
          <w:color w:val="auto"/>
          <w:sz w:val="30"/>
          <w:szCs w:val="30"/>
          <w:highlight w:val="none"/>
          <w:lang w:eastAsia="zh-CN"/>
        </w:rPr>
        <w:t>，并将</w:t>
      </w:r>
      <w:r>
        <w:rPr>
          <w:rFonts w:hint="eastAsia" w:ascii="仿宋_GB2312" w:hAnsi="仿宋_GB2312" w:eastAsia="仿宋_GB2312" w:cs="仿宋_GB2312"/>
          <w:color w:val="auto"/>
          <w:sz w:val="30"/>
          <w:szCs w:val="30"/>
          <w:highlight w:val="none"/>
        </w:rPr>
        <w:t>古树名木保护管理情况纳入领导干部自然资源资产离任审计。</w:t>
      </w:r>
      <w:r>
        <w:rPr>
          <w:rFonts w:hint="eastAsia" w:ascii="仿宋_GB2312" w:hAnsi="仿宋_GB2312" w:eastAsia="仿宋_GB2312" w:cs="仿宋_GB2312"/>
          <w:color w:val="auto"/>
          <w:sz w:val="30"/>
          <w:szCs w:val="30"/>
          <w:highlight w:val="none"/>
          <w:lang w:eastAsia="zh-CN"/>
        </w:rPr>
        <w:t>建立完善</w:t>
      </w:r>
      <w:r>
        <w:rPr>
          <w:rFonts w:hint="eastAsia" w:ascii="仿宋_GB2312" w:hAnsi="仿宋_GB2312" w:eastAsia="仿宋_GB2312" w:cs="仿宋_GB2312"/>
          <w:color w:val="auto"/>
          <w:sz w:val="30"/>
          <w:szCs w:val="30"/>
          <w:highlight w:val="none"/>
        </w:rPr>
        <w:t>部门</w:t>
      </w:r>
      <w:r>
        <w:rPr>
          <w:rFonts w:hint="eastAsia" w:ascii="仿宋_GB2312" w:hAnsi="仿宋_GB2312" w:eastAsia="仿宋_GB2312" w:cs="仿宋_GB2312"/>
          <w:color w:val="auto"/>
          <w:sz w:val="30"/>
          <w:szCs w:val="30"/>
          <w:highlight w:val="none"/>
          <w:lang w:eastAsia="zh-CN"/>
        </w:rPr>
        <w:t>间</w:t>
      </w:r>
      <w:r>
        <w:rPr>
          <w:rFonts w:hint="eastAsia" w:ascii="仿宋_GB2312" w:hAnsi="仿宋_GB2312" w:eastAsia="仿宋_GB2312" w:cs="仿宋_GB2312"/>
          <w:color w:val="auto"/>
          <w:sz w:val="30"/>
          <w:szCs w:val="30"/>
          <w:highlight w:val="none"/>
        </w:rPr>
        <w:t>的沟通协调</w:t>
      </w:r>
      <w:r>
        <w:rPr>
          <w:rFonts w:hint="eastAsia" w:ascii="仿宋_GB2312" w:hAnsi="仿宋_GB2312" w:eastAsia="仿宋_GB2312" w:cs="仿宋_GB2312"/>
          <w:color w:val="auto"/>
          <w:sz w:val="30"/>
          <w:szCs w:val="30"/>
          <w:highlight w:val="none"/>
          <w:lang w:eastAsia="zh-CN"/>
        </w:rPr>
        <w:t>机制</w:t>
      </w:r>
      <w:r>
        <w:rPr>
          <w:rFonts w:hint="eastAsia" w:ascii="仿宋_GB2312" w:hAnsi="仿宋_GB2312" w:eastAsia="仿宋_GB2312" w:cs="仿宋_GB2312"/>
          <w:color w:val="auto"/>
          <w:sz w:val="30"/>
          <w:szCs w:val="30"/>
          <w:highlight w:val="none"/>
        </w:rPr>
        <w:t>，形成合力，推进古树名木</w:t>
      </w:r>
      <w:r>
        <w:rPr>
          <w:rFonts w:hint="eastAsia" w:ascii="仿宋_GB2312" w:hAnsi="仿宋_GB2312" w:eastAsia="仿宋_GB2312" w:cs="仿宋_GB2312"/>
          <w:color w:val="auto"/>
          <w:sz w:val="30"/>
          <w:szCs w:val="30"/>
          <w:highlight w:val="none"/>
          <w:lang w:eastAsia="zh-CN"/>
        </w:rPr>
        <w:t>协同</w:t>
      </w:r>
      <w:r>
        <w:rPr>
          <w:rFonts w:hint="eastAsia" w:ascii="仿宋_GB2312" w:hAnsi="仿宋_GB2312" w:eastAsia="仿宋_GB2312" w:cs="仿宋_GB2312"/>
          <w:color w:val="auto"/>
          <w:sz w:val="30"/>
          <w:szCs w:val="30"/>
          <w:highlight w:val="none"/>
        </w:rPr>
        <w:t>保护。</w:t>
      </w:r>
    </w:p>
    <w:p w14:paraId="033E1D6B">
      <w:pPr>
        <w:keepNext w:val="0"/>
        <w:keepLines w:val="0"/>
        <w:pageBreakBefore w:val="0"/>
        <w:kinsoku/>
        <w:wordWrap/>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三</w:t>
      </w:r>
      <w:r>
        <w:rPr>
          <w:rFonts w:hint="eastAsia" w:ascii="仿宋_GB2312" w:hAnsi="仿宋_GB2312" w:eastAsia="仿宋_GB2312" w:cs="仿宋_GB2312"/>
          <w:b/>
          <w:bCs/>
          <w:color w:val="auto"/>
          <w:sz w:val="30"/>
          <w:szCs w:val="30"/>
          <w:highlight w:val="none"/>
        </w:rPr>
        <w:t>）落实保护管理措施。</w:t>
      </w:r>
      <w:r>
        <w:rPr>
          <w:rFonts w:hint="eastAsia" w:ascii="仿宋_GB2312" w:hAnsi="仿宋_GB2312" w:eastAsia="仿宋_GB2312" w:cs="仿宋_GB2312"/>
          <w:color w:val="auto"/>
          <w:sz w:val="30"/>
          <w:szCs w:val="30"/>
          <w:highlight w:val="none"/>
        </w:rPr>
        <w:t>开展专业养护前应制定实施方案，由专业养护队伍</w:t>
      </w:r>
      <w:r>
        <w:rPr>
          <w:rFonts w:hint="eastAsia" w:ascii="仿宋_GB2312" w:hAnsi="仿宋_GB2312" w:eastAsia="仿宋_GB2312" w:cs="仿宋_GB2312"/>
          <w:color w:val="auto"/>
          <w:sz w:val="30"/>
          <w:szCs w:val="30"/>
          <w:highlight w:val="none"/>
          <w:lang w:eastAsia="zh-CN"/>
        </w:rPr>
        <w:t>承担</w:t>
      </w:r>
      <w:r>
        <w:rPr>
          <w:rFonts w:hint="eastAsia" w:ascii="仿宋_GB2312" w:hAnsi="仿宋_GB2312" w:eastAsia="仿宋_GB2312" w:cs="仿宋_GB2312"/>
          <w:color w:val="auto"/>
          <w:sz w:val="30"/>
          <w:szCs w:val="30"/>
          <w:highlight w:val="none"/>
        </w:rPr>
        <w:t>实施</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古树名木保护主管部门负责组织方案评审、</w:t>
      </w:r>
      <w:r>
        <w:rPr>
          <w:rFonts w:hint="eastAsia" w:ascii="仿宋_GB2312" w:hAnsi="仿宋_GB2312" w:eastAsia="仿宋_GB2312" w:cs="仿宋_GB2312"/>
          <w:color w:val="auto"/>
          <w:sz w:val="30"/>
          <w:szCs w:val="30"/>
          <w:highlight w:val="none"/>
          <w:lang w:eastAsia="zh-CN"/>
        </w:rPr>
        <w:t>项目</w:t>
      </w:r>
      <w:r>
        <w:rPr>
          <w:rFonts w:hint="eastAsia" w:ascii="仿宋_GB2312" w:hAnsi="仿宋_GB2312" w:eastAsia="仿宋_GB2312" w:cs="仿宋_GB2312"/>
          <w:color w:val="auto"/>
          <w:sz w:val="30"/>
          <w:szCs w:val="30"/>
          <w:highlight w:val="none"/>
        </w:rPr>
        <w:t>验收</w:t>
      </w:r>
      <w:r>
        <w:rPr>
          <w:rFonts w:hint="eastAsia" w:ascii="仿宋_GB2312" w:hAnsi="仿宋_GB2312" w:eastAsia="仿宋_GB2312" w:cs="仿宋_GB2312"/>
          <w:color w:val="auto"/>
          <w:sz w:val="30"/>
          <w:szCs w:val="30"/>
          <w:highlight w:val="none"/>
          <w:lang w:eastAsia="zh-CN"/>
        </w:rPr>
        <w:t>和</w:t>
      </w:r>
      <w:r>
        <w:rPr>
          <w:rFonts w:hint="eastAsia" w:ascii="仿宋_GB2312" w:hAnsi="仿宋_GB2312" w:eastAsia="仿宋_GB2312" w:cs="仿宋_GB2312"/>
          <w:color w:val="auto"/>
          <w:sz w:val="30"/>
          <w:szCs w:val="30"/>
          <w:highlight w:val="none"/>
        </w:rPr>
        <w:t>专业养护效果评估</w:t>
      </w:r>
      <w:r>
        <w:rPr>
          <w:rFonts w:hint="eastAsia" w:ascii="仿宋_GB2312" w:hAnsi="仿宋_GB2312" w:eastAsia="仿宋_GB2312" w:cs="仿宋_GB2312"/>
          <w:color w:val="auto"/>
          <w:sz w:val="30"/>
          <w:szCs w:val="30"/>
          <w:highlight w:val="none"/>
          <w:lang w:eastAsia="zh-CN"/>
        </w:rPr>
        <w:t>工作，加强养护</w:t>
      </w:r>
      <w:r>
        <w:rPr>
          <w:rFonts w:hint="eastAsia" w:ascii="仿宋_GB2312" w:hAnsi="仿宋_GB2312" w:eastAsia="仿宋_GB2312" w:cs="仿宋_GB2312"/>
          <w:color w:val="auto"/>
          <w:sz w:val="30"/>
          <w:szCs w:val="30"/>
          <w:highlight w:val="none"/>
        </w:rPr>
        <w:t>过程监督</w:t>
      </w:r>
      <w:r>
        <w:rPr>
          <w:rFonts w:hint="eastAsia" w:ascii="仿宋_GB2312" w:hAnsi="仿宋_GB2312" w:eastAsia="仿宋_GB2312" w:cs="仿宋_GB2312"/>
          <w:color w:val="auto"/>
          <w:sz w:val="30"/>
          <w:szCs w:val="30"/>
          <w:highlight w:val="none"/>
          <w:lang w:eastAsia="zh-CN"/>
        </w:rPr>
        <w:t>管理</w:t>
      </w:r>
      <w:r>
        <w:rPr>
          <w:rFonts w:hint="eastAsia" w:ascii="仿宋_GB2312" w:hAnsi="仿宋_GB2312" w:eastAsia="仿宋_GB2312" w:cs="仿宋_GB2312"/>
          <w:color w:val="auto"/>
          <w:sz w:val="30"/>
          <w:szCs w:val="30"/>
          <w:highlight w:val="none"/>
        </w:rPr>
        <w:t>。</w:t>
      </w:r>
    </w:p>
    <w:p w14:paraId="7C61197A">
      <w:pPr>
        <w:keepNext w:val="0"/>
        <w:keepLines w:val="0"/>
        <w:pageBreakBefore w:val="0"/>
        <w:kinsoku/>
        <w:wordWrap/>
        <w:topLinePunct w:val="0"/>
        <w:autoSpaceDE/>
        <w:autoSpaceDN/>
        <w:bidi w:val="0"/>
        <w:adjustRightInd/>
        <w:snapToGrid/>
        <w:spacing w:line="600" w:lineRule="exact"/>
        <w:ind w:firstLine="602" w:firstLineChars="200"/>
        <w:textAlignment w:val="auto"/>
        <w:rPr>
          <w:rFonts w:hint="eastAsia" w:ascii="仿宋_GB2312" w:hAnsi="仿宋_GB2312" w:eastAsia="仿宋_GB2312" w:cs="仿宋_GB2312"/>
          <w:b w:val="0"/>
          <w:bCs/>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四</w:t>
      </w:r>
      <w:r>
        <w:rPr>
          <w:rFonts w:hint="eastAsia" w:ascii="仿宋_GB2312" w:hAnsi="仿宋_GB2312" w:eastAsia="仿宋_GB2312" w:cs="仿宋_GB2312"/>
          <w:b/>
          <w:bCs/>
          <w:color w:val="auto"/>
          <w:sz w:val="30"/>
          <w:szCs w:val="30"/>
          <w:highlight w:val="none"/>
        </w:rPr>
        <w:t>）加强技术支撑。</w:t>
      </w:r>
      <w:r>
        <w:rPr>
          <w:rFonts w:hint="eastAsia" w:ascii="仿宋_GB2312" w:hAnsi="仿宋_GB2312" w:eastAsia="仿宋_GB2312" w:cs="仿宋_GB2312"/>
          <w:b w:val="0"/>
          <w:bCs/>
          <w:color w:val="auto"/>
          <w:sz w:val="30"/>
          <w:szCs w:val="30"/>
          <w:highlight w:val="none"/>
        </w:rPr>
        <w:t>古树名木主管部门应当为养护责任人提供必要的养护知识培训，指导其按照技术规范对古树名木进行日常养护，并为其无偿提供专业技术服务。</w:t>
      </w:r>
      <w:r>
        <w:rPr>
          <w:rFonts w:hint="eastAsia" w:ascii="仿宋_GB2312" w:hAnsi="仿宋_GB2312" w:eastAsia="仿宋_GB2312" w:cs="仿宋_GB2312"/>
          <w:b w:val="0"/>
          <w:bCs/>
          <w:color w:val="auto"/>
          <w:sz w:val="30"/>
          <w:szCs w:val="30"/>
          <w:highlight w:val="none"/>
          <w:lang w:eastAsia="zh-CN"/>
        </w:rPr>
        <w:t>建立古树名木保护专家库，</w:t>
      </w:r>
      <w:r>
        <w:rPr>
          <w:rFonts w:hint="eastAsia" w:ascii="仿宋_GB2312" w:hAnsi="仿宋_GB2312" w:eastAsia="仿宋_GB2312" w:cs="仿宋_GB2312"/>
          <w:b w:val="0"/>
          <w:bCs/>
          <w:color w:val="auto"/>
          <w:sz w:val="30"/>
          <w:szCs w:val="30"/>
          <w:highlight w:val="none"/>
        </w:rPr>
        <w:t>组织相关专家参与古树名木科学研究、调查鉴定、抢救复壮、养护管理、保护方案审查、安全评估等工作。</w:t>
      </w:r>
    </w:p>
    <w:p w14:paraId="4DE963FD">
      <w:pPr>
        <w:keepNext w:val="0"/>
        <w:keepLines w:val="0"/>
        <w:pageBreakBefore w:val="0"/>
        <w:kinsoku/>
        <w:wordWrap/>
        <w:topLinePunct w:val="0"/>
        <w:autoSpaceDE/>
        <w:autoSpaceDN/>
        <w:bidi w:val="0"/>
        <w:adjustRightInd/>
        <w:snapToGrid/>
        <w:spacing w:line="600" w:lineRule="exact"/>
        <w:ind w:firstLine="602" w:firstLineChars="200"/>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五</w:t>
      </w:r>
      <w:r>
        <w:rPr>
          <w:rFonts w:hint="eastAsia" w:ascii="仿宋_GB2312" w:hAnsi="仿宋_GB2312" w:eastAsia="仿宋_GB2312" w:cs="仿宋_GB2312"/>
          <w:b/>
          <w:bCs/>
          <w:color w:val="auto"/>
          <w:sz w:val="30"/>
          <w:szCs w:val="30"/>
          <w:highlight w:val="none"/>
        </w:rPr>
        <w:t>）规范台账管理。</w:t>
      </w:r>
      <w:r>
        <w:rPr>
          <w:rFonts w:hint="eastAsia" w:ascii="仿宋_GB2312" w:hAnsi="仿宋_GB2312" w:eastAsia="仿宋_GB2312" w:cs="仿宋_GB2312"/>
          <w:b w:val="0"/>
          <w:bCs/>
          <w:color w:val="auto"/>
          <w:sz w:val="30"/>
          <w:szCs w:val="30"/>
          <w:highlight w:val="none"/>
        </w:rPr>
        <w:t>古树名木</w:t>
      </w:r>
      <w:r>
        <w:rPr>
          <w:rFonts w:hint="eastAsia" w:ascii="仿宋_GB2312" w:hAnsi="仿宋_GB2312" w:eastAsia="仿宋_GB2312" w:cs="仿宋_GB2312"/>
          <w:bCs/>
          <w:color w:val="auto"/>
          <w:sz w:val="30"/>
          <w:szCs w:val="30"/>
          <w:highlight w:val="none"/>
        </w:rPr>
        <w:t>保护</w:t>
      </w:r>
      <w:r>
        <w:rPr>
          <w:rFonts w:hint="eastAsia" w:ascii="仿宋_GB2312" w:hAnsi="仿宋_GB2312" w:eastAsia="仿宋_GB2312" w:cs="仿宋_GB2312"/>
          <w:b w:val="0"/>
          <w:bCs/>
          <w:color w:val="auto"/>
          <w:sz w:val="30"/>
          <w:szCs w:val="30"/>
          <w:highlight w:val="none"/>
        </w:rPr>
        <w:t>主管部门应当建立古树名木日常</w:t>
      </w:r>
      <w:r>
        <w:rPr>
          <w:rFonts w:hint="eastAsia" w:ascii="仿宋_GB2312" w:hAnsi="仿宋_GB2312" w:eastAsia="仿宋_GB2312" w:cs="仿宋_GB2312"/>
          <w:bCs/>
          <w:color w:val="auto"/>
          <w:sz w:val="30"/>
          <w:szCs w:val="30"/>
          <w:highlight w:val="none"/>
        </w:rPr>
        <w:t>管理</w:t>
      </w:r>
      <w:r>
        <w:rPr>
          <w:rFonts w:hint="eastAsia" w:ascii="仿宋_GB2312" w:hAnsi="仿宋_GB2312" w:eastAsia="仿宋_GB2312" w:cs="仿宋_GB2312"/>
          <w:b w:val="0"/>
          <w:bCs/>
          <w:color w:val="auto"/>
          <w:sz w:val="30"/>
          <w:szCs w:val="30"/>
          <w:highlight w:val="none"/>
          <w:lang w:eastAsia="zh-CN"/>
        </w:rPr>
        <w:t>台账和</w:t>
      </w:r>
      <w:r>
        <w:rPr>
          <w:rFonts w:hint="eastAsia" w:ascii="仿宋_GB2312" w:hAnsi="仿宋_GB2312" w:eastAsia="仿宋_GB2312" w:cs="仿宋_GB2312"/>
          <w:b w:val="0"/>
          <w:bCs/>
          <w:color w:val="auto"/>
          <w:sz w:val="30"/>
          <w:szCs w:val="30"/>
          <w:highlight w:val="none"/>
        </w:rPr>
        <w:t>巡查信息档案。</w:t>
      </w:r>
      <w:r>
        <w:rPr>
          <w:rFonts w:hint="eastAsia" w:ascii="仿宋_GB2312" w:hAnsi="仿宋_GB2312" w:eastAsia="仿宋_GB2312" w:cs="仿宋_GB2312"/>
          <w:color w:val="auto"/>
          <w:sz w:val="30"/>
          <w:szCs w:val="30"/>
          <w:highlight w:val="none"/>
        </w:rPr>
        <w:t>养护责任人应及时记录养护措施，巡护发现问题要记录规范、事实清楚，佐证影像资料应清晰全面，形成可查询追溯的养护日志。</w:t>
      </w:r>
    </w:p>
    <w:p w14:paraId="1D3CD85B">
      <w:pPr>
        <w:keepNext w:val="0"/>
        <w:keepLines w:val="0"/>
        <w:pageBreakBefore w:val="0"/>
        <w:kinsoku/>
        <w:wordWrap/>
        <w:topLinePunct w:val="0"/>
        <w:autoSpaceDE/>
        <w:autoSpaceDN/>
        <w:bidi w:val="0"/>
        <w:adjustRightInd/>
        <w:snapToGrid/>
        <w:spacing w:line="600" w:lineRule="exact"/>
        <w:ind w:firstLine="602" w:firstLineChars="200"/>
        <w:jc w:val="both"/>
        <w:textAlignment w:val="auto"/>
        <w:rPr>
          <w:rFonts w:ascii="仿宋_GB2312" w:hAnsi="仿宋_GB2312" w:eastAsia="仿宋_GB2312" w:cs="仿宋_GB2312"/>
          <w:color w:val="auto"/>
          <w:sz w:val="30"/>
          <w:szCs w:val="30"/>
          <w:highlight w:val="none"/>
        </w:rPr>
      </w:pPr>
      <w:r>
        <w:rPr>
          <w:rFonts w:hint="eastAsia" w:ascii="仿宋_GB2312" w:hAnsi="仿宋_GB2312" w:eastAsia="仿宋_GB2312" w:cs="仿宋_GB2312"/>
          <w:b/>
          <w:bCs/>
          <w:color w:val="auto"/>
          <w:sz w:val="30"/>
          <w:szCs w:val="30"/>
          <w:highlight w:val="none"/>
        </w:rPr>
        <w:t>（十</w:t>
      </w:r>
      <w:r>
        <w:rPr>
          <w:rFonts w:hint="eastAsia" w:ascii="仿宋_GB2312" w:hAnsi="仿宋_GB2312" w:eastAsia="仿宋_GB2312" w:cs="仿宋_GB2312"/>
          <w:b/>
          <w:bCs/>
          <w:color w:val="auto"/>
          <w:sz w:val="30"/>
          <w:szCs w:val="30"/>
          <w:highlight w:val="none"/>
          <w:lang w:eastAsia="zh-CN"/>
        </w:rPr>
        <w:t>六</w:t>
      </w:r>
      <w:r>
        <w:rPr>
          <w:rFonts w:hint="eastAsia" w:ascii="仿宋_GB2312" w:hAnsi="仿宋_GB2312" w:eastAsia="仿宋_GB2312" w:cs="仿宋_GB2312"/>
          <w:b/>
          <w:bCs/>
          <w:color w:val="auto"/>
          <w:sz w:val="30"/>
          <w:szCs w:val="30"/>
          <w:highlight w:val="none"/>
        </w:rPr>
        <w:t>）</w:t>
      </w:r>
      <w:r>
        <w:rPr>
          <w:rFonts w:hint="eastAsia" w:ascii="仿宋_GB2312" w:hAnsi="仿宋_GB2312" w:eastAsia="仿宋_GB2312" w:cs="仿宋_GB2312"/>
          <w:b/>
          <w:bCs/>
          <w:color w:val="auto"/>
          <w:sz w:val="30"/>
          <w:szCs w:val="30"/>
          <w:highlight w:val="none"/>
          <w:lang w:eastAsia="zh-CN"/>
        </w:rPr>
        <w:t>强化</w:t>
      </w:r>
      <w:r>
        <w:rPr>
          <w:rFonts w:hint="eastAsia" w:ascii="仿宋_GB2312" w:hAnsi="仿宋_GB2312" w:eastAsia="仿宋_GB2312" w:cs="仿宋_GB2312"/>
          <w:b/>
          <w:bCs/>
          <w:color w:val="auto"/>
          <w:sz w:val="30"/>
          <w:szCs w:val="30"/>
          <w:highlight w:val="none"/>
        </w:rPr>
        <w:t>数字化监管</w:t>
      </w:r>
      <w:r>
        <w:rPr>
          <w:rFonts w:hint="eastAsia" w:ascii="仿宋_GB2312" w:hAnsi="仿宋_GB2312" w:eastAsia="仿宋_GB2312" w:cs="仿宋_GB2312"/>
          <w:color w:val="auto"/>
          <w:sz w:val="30"/>
          <w:szCs w:val="30"/>
          <w:highlight w:val="none"/>
        </w:rPr>
        <w:t>。古树名木保护主管部门应加强数字化信息管理，利用现代信息技术手段，提高监督管理的效率和水平。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宋体s..萀">
    <w:altName w:val="方正书宋_GBK"/>
    <w:panose1 w:val="00000000000000000000"/>
    <w:charset w:val="86"/>
    <w:family w:val="roman"/>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E987">
    <w:pPr>
      <w:spacing w:line="233" w:lineRule="auto"/>
      <w:ind w:left="70"/>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58983">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A58983">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F4DCAE"/>
    <w:multiLevelType w:val="singleLevel"/>
    <w:tmpl w:val="4FF4DCAE"/>
    <w:lvl w:ilvl="0" w:tentative="0">
      <w:start w:val="5"/>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1465B1"/>
    <w:rsid w:val="001D12DF"/>
    <w:rsid w:val="00257992"/>
    <w:rsid w:val="00263E51"/>
    <w:rsid w:val="002710C3"/>
    <w:rsid w:val="002C2DD9"/>
    <w:rsid w:val="002E16C2"/>
    <w:rsid w:val="003172E7"/>
    <w:rsid w:val="003A65C4"/>
    <w:rsid w:val="003C1AD0"/>
    <w:rsid w:val="004C14BF"/>
    <w:rsid w:val="004E7919"/>
    <w:rsid w:val="004F7813"/>
    <w:rsid w:val="0052534E"/>
    <w:rsid w:val="005E107C"/>
    <w:rsid w:val="0061058C"/>
    <w:rsid w:val="00650044"/>
    <w:rsid w:val="006B4815"/>
    <w:rsid w:val="006F2216"/>
    <w:rsid w:val="007243AB"/>
    <w:rsid w:val="00765310"/>
    <w:rsid w:val="0078323E"/>
    <w:rsid w:val="007E4796"/>
    <w:rsid w:val="0080092F"/>
    <w:rsid w:val="00837796"/>
    <w:rsid w:val="008C1B9E"/>
    <w:rsid w:val="008D4491"/>
    <w:rsid w:val="008E5A38"/>
    <w:rsid w:val="00922E40"/>
    <w:rsid w:val="00927E47"/>
    <w:rsid w:val="0094606C"/>
    <w:rsid w:val="00946379"/>
    <w:rsid w:val="0095179E"/>
    <w:rsid w:val="00975B55"/>
    <w:rsid w:val="009E759C"/>
    <w:rsid w:val="00A36C0C"/>
    <w:rsid w:val="00B0315F"/>
    <w:rsid w:val="00B17179"/>
    <w:rsid w:val="00B36630"/>
    <w:rsid w:val="00BB320C"/>
    <w:rsid w:val="00BD6642"/>
    <w:rsid w:val="00C64C6D"/>
    <w:rsid w:val="00CB703F"/>
    <w:rsid w:val="00D22567"/>
    <w:rsid w:val="00D36A19"/>
    <w:rsid w:val="00D873D1"/>
    <w:rsid w:val="00DC1721"/>
    <w:rsid w:val="00DF06CB"/>
    <w:rsid w:val="00E116E3"/>
    <w:rsid w:val="00E3242D"/>
    <w:rsid w:val="00E64D10"/>
    <w:rsid w:val="00E700D3"/>
    <w:rsid w:val="00EA019B"/>
    <w:rsid w:val="00EA1D29"/>
    <w:rsid w:val="00EC733F"/>
    <w:rsid w:val="00F123EB"/>
    <w:rsid w:val="00F15641"/>
    <w:rsid w:val="00F16400"/>
    <w:rsid w:val="00F2441A"/>
    <w:rsid w:val="00F5478E"/>
    <w:rsid w:val="00FA1FD2"/>
    <w:rsid w:val="00FC3A22"/>
    <w:rsid w:val="00FE7EB6"/>
    <w:rsid w:val="021D2555"/>
    <w:rsid w:val="02382EDA"/>
    <w:rsid w:val="0321400D"/>
    <w:rsid w:val="05F17CC7"/>
    <w:rsid w:val="070D2227"/>
    <w:rsid w:val="07E61FA9"/>
    <w:rsid w:val="0E676E52"/>
    <w:rsid w:val="10C20CC9"/>
    <w:rsid w:val="114E2DD8"/>
    <w:rsid w:val="14B97E8C"/>
    <w:rsid w:val="15FB618F"/>
    <w:rsid w:val="18C255E3"/>
    <w:rsid w:val="19F401EF"/>
    <w:rsid w:val="1C1E2A02"/>
    <w:rsid w:val="1EDAD295"/>
    <w:rsid w:val="1F523D8D"/>
    <w:rsid w:val="1FBF5B37"/>
    <w:rsid w:val="21653F81"/>
    <w:rsid w:val="21A31EE5"/>
    <w:rsid w:val="221B5875"/>
    <w:rsid w:val="227144CB"/>
    <w:rsid w:val="22CF2E2D"/>
    <w:rsid w:val="23167B2F"/>
    <w:rsid w:val="24DD22BA"/>
    <w:rsid w:val="27307220"/>
    <w:rsid w:val="27692E6C"/>
    <w:rsid w:val="285A432E"/>
    <w:rsid w:val="2A4A268E"/>
    <w:rsid w:val="2B011EB4"/>
    <w:rsid w:val="2C2271B4"/>
    <w:rsid w:val="2DFB59CA"/>
    <w:rsid w:val="2F4E086D"/>
    <w:rsid w:val="2FE51D9B"/>
    <w:rsid w:val="330259E4"/>
    <w:rsid w:val="34782CA6"/>
    <w:rsid w:val="352073D1"/>
    <w:rsid w:val="375F6E24"/>
    <w:rsid w:val="38E97367"/>
    <w:rsid w:val="39096D78"/>
    <w:rsid w:val="3930119A"/>
    <w:rsid w:val="398E2741"/>
    <w:rsid w:val="39E33B48"/>
    <w:rsid w:val="3BBE19ED"/>
    <w:rsid w:val="3C93C190"/>
    <w:rsid w:val="3EF98E43"/>
    <w:rsid w:val="3F960249"/>
    <w:rsid w:val="3FD17C46"/>
    <w:rsid w:val="3FFAD8DF"/>
    <w:rsid w:val="40AD33BD"/>
    <w:rsid w:val="40BE0D95"/>
    <w:rsid w:val="41CF3183"/>
    <w:rsid w:val="425C1D8B"/>
    <w:rsid w:val="44597F9D"/>
    <w:rsid w:val="494C46D7"/>
    <w:rsid w:val="49BB3545"/>
    <w:rsid w:val="4A3E3873"/>
    <w:rsid w:val="4A4C47F2"/>
    <w:rsid w:val="4AC41276"/>
    <w:rsid w:val="4BCA6603"/>
    <w:rsid w:val="4C7D29D5"/>
    <w:rsid w:val="4D040842"/>
    <w:rsid w:val="4DBA3E8A"/>
    <w:rsid w:val="4DF97714"/>
    <w:rsid w:val="4EDB2CF7"/>
    <w:rsid w:val="4EDC9915"/>
    <w:rsid w:val="4F7D417A"/>
    <w:rsid w:val="50653AFA"/>
    <w:rsid w:val="52684B42"/>
    <w:rsid w:val="52D7441A"/>
    <w:rsid w:val="52F06035"/>
    <w:rsid w:val="542277FB"/>
    <w:rsid w:val="55F2457A"/>
    <w:rsid w:val="56ED7BDD"/>
    <w:rsid w:val="5A4F849B"/>
    <w:rsid w:val="5B529C25"/>
    <w:rsid w:val="5B7D5071"/>
    <w:rsid w:val="5DB971A5"/>
    <w:rsid w:val="5E2D162C"/>
    <w:rsid w:val="5E8463D4"/>
    <w:rsid w:val="5EFBEAE8"/>
    <w:rsid w:val="6017749F"/>
    <w:rsid w:val="64C869E5"/>
    <w:rsid w:val="64EB7E9C"/>
    <w:rsid w:val="670E04FA"/>
    <w:rsid w:val="672F0F14"/>
    <w:rsid w:val="67AFAB22"/>
    <w:rsid w:val="67CE1E60"/>
    <w:rsid w:val="67F6FF32"/>
    <w:rsid w:val="681B510C"/>
    <w:rsid w:val="691465B1"/>
    <w:rsid w:val="696521D6"/>
    <w:rsid w:val="69FDEF42"/>
    <w:rsid w:val="6BF77A6A"/>
    <w:rsid w:val="6C713C0A"/>
    <w:rsid w:val="6C79835D"/>
    <w:rsid w:val="6CB82E4D"/>
    <w:rsid w:val="6DDB5612"/>
    <w:rsid w:val="6E4250B8"/>
    <w:rsid w:val="6F7FBC1A"/>
    <w:rsid w:val="6F9BD30B"/>
    <w:rsid w:val="70234C53"/>
    <w:rsid w:val="703525F6"/>
    <w:rsid w:val="70876F17"/>
    <w:rsid w:val="71CF1CEE"/>
    <w:rsid w:val="733943B3"/>
    <w:rsid w:val="74E77989"/>
    <w:rsid w:val="759E7FEF"/>
    <w:rsid w:val="75DE54B4"/>
    <w:rsid w:val="75FFC54F"/>
    <w:rsid w:val="77DB2896"/>
    <w:rsid w:val="78F149C5"/>
    <w:rsid w:val="79FE5F20"/>
    <w:rsid w:val="7ADB170F"/>
    <w:rsid w:val="7B7DE8E7"/>
    <w:rsid w:val="7BBFB715"/>
    <w:rsid w:val="7C5C650E"/>
    <w:rsid w:val="7C7FDB94"/>
    <w:rsid w:val="7CE110B9"/>
    <w:rsid w:val="7E52287A"/>
    <w:rsid w:val="7E5D60AC"/>
    <w:rsid w:val="7E792904"/>
    <w:rsid w:val="7EFE5BAE"/>
    <w:rsid w:val="7F9F08F0"/>
    <w:rsid w:val="7FB33E55"/>
    <w:rsid w:val="7FB99CC2"/>
    <w:rsid w:val="7FBA6FEC"/>
    <w:rsid w:val="7FE7DBED"/>
    <w:rsid w:val="7FEB2045"/>
    <w:rsid w:val="7FEF3097"/>
    <w:rsid w:val="7FEFED00"/>
    <w:rsid w:val="7FF7CE95"/>
    <w:rsid w:val="7FFE6E24"/>
    <w:rsid w:val="8EFE3FEA"/>
    <w:rsid w:val="98FFFC28"/>
    <w:rsid w:val="9F5C6F46"/>
    <w:rsid w:val="A9F79D78"/>
    <w:rsid w:val="AD3B9EE9"/>
    <w:rsid w:val="AE9BE427"/>
    <w:rsid w:val="B0E3CABB"/>
    <w:rsid w:val="B6CD0F01"/>
    <w:rsid w:val="BA7B23C6"/>
    <w:rsid w:val="BCBC8DF1"/>
    <w:rsid w:val="BDFD780F"/>
    <w:rsid w:val="BFFAA1EB"/>
    <w:rsid w:val="C27F3041"/>
    <w:rsid w:val="C7117F4A"/>
    <w:rsid w:val="D3F7F58E"/>
    <w:rsid w:val="D7A662A5"/>
    <w:rsid w:val="DBEFC881"/>
    <w:rsid w:val="DE7D5076"/>
    <w:rsid w:val="DF9F44C7"/>
    <w:rsid w:val="DFFFA772"/>
    <w:rsid w:val="E3DEEF47"/>
    <w:rsid w:val="E7DD1E68"/>
    <w:rsid w:val="EB75D095"/>
    <w:rsid w:val="EC71A6B7"/>
    <w:rsid w:val="ECACFD50"/>
    <w:rsid w:val="EFF750E0"/>
    <w:rsid w:val="EFFE745A"/>
    <w:rsid w:val="F16F4577"/>
    <w:rsid w:val="F46FBF5D"/>
    <w:rsid w:val="F771D823"/>
    <w:rsid w:val="F77F0EB6"/>
    <w:rsid w:val="F7C5CBC9"/>
    <w:rsid w:val="F7FFC297"/>
    <w:rsid w:val="F833A224"/>
    <w:rsid w:val="FABFAF35"/>
    <w:rsid w:val="FABFEA3B"/>
    <w:rsid w:val="FAC90144"/>
    <w:rsid w:val="FAF79C80"/>
    <w:rsid w:val="FBFBC6EB"/>
    <w:rsid w:val="FBFF608F"/>
    <w:rsid w:val="FD4D6ACA"/>
    <w:rsid w:val="FDD73E1C"/>
    <w:rsid w:val="FED5A7D6"/>
    <w:rsid w:val="FEFF2DDA"/>
    <w:rsid w:val="FF7F0D1A"/>
    <w:rsid w:val="FFDD4EFE"/>
    <w:rsid w:val="FFEC35C3"/>
    <w:rsid w:val="FFFDC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semiHidden/>
    <w:qFormat/>
    <w:uiPriority w:val="0"/>
    <w:rPr>
      <w:rFonts w:ascii="Arial" w:hAnsi="Arial" w:eastAsia="Arial" w:cs="Arial"/>
      <w:szCs w:val="21"/>
      <w:lang w:eastAsia="en-US"/>
    </w:rPr>
  </w:style>
  <w:style w:type="paragraph" w:styleId="5">
    <w:name w:val="Balloon Text"/>
    <w:basedOn w:val="1"/>
    <w:link w:val="21"/>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FollowedHyperlink"/>
    <w:basedOn w:val="11"/>
    <w:qFormat/>
    <w:uiPriority w:val="0"/>
    <w:rPr>
      <w:color w:val="800080"/>
      <w:u w:val="single"/>
    </w:rPr>
  </w:style>
  <w:style w:type="character" w:styleId="14">
    <w:name w:val="Hyperlink"/>
    <w:basedOn w:val="11"/>
    <w:qFormat/>
    <w:uiPriority w:val="0"/>
    <w:rPr>
      <w:color w:val="0000FF"/>
      <w:u w:val="single"/>
    </w:rPr>
  </w:style>
  <w:style w:type="table" w:customStyle="1" w:styleId="15">
    <w:name w:val="table"/>
    <w:basedOn w:val="9"/>
    <w:qFormat/>
    <w:uiPriority w:val="0"/>
    <w:tblPr>
      <w:tblCellMar>
        <w:top w:w="0" w:type="dxa"/>
        <w:left w:w="108" w:type="dxa"/>
        <w:bottom w:w="0" w:type="dxa"/>
        <w:right w:w="108" w:type="dxa"/>
      </w:tblCellMar>
    </w:tblPr>
  </w:style>
  <w:style w:type="paragraph" w:customStyle="1" w:styleId="16">
    <w:name w:val="lkuan"/>
    <w:basedOn w:val="1"/>
    <w:qFormat/>
    <w:uiPriority w:val="0"/>
    <w:pPr>
      <w:snapToGrid w:val="0"/>
      <w:spacing w:line="360" w:lineRule="exact"/>
      <w:ind w:firstLine="482"/>
    </w:pPr>
    <w:rPr>
      <w:rFonts w:ascii="楷体_GB2312" w:hAnsi="楷体_GB2312" w:eastAsia="楷体_GB2312" w:cs="楷体_GB2312"/>
      <w:color w:val="FF0000"/>
      <w:sz w:val="28"/>
      <w:szCs w:val="28"/>
    </w:rPr>
  </w:style>
  <w:style w:type="paragraph" w:customStyle="1" w:styleId="17">
    <w:name w:val="ltiao"/>
    <w:basedOn w:val="1"/>
    <w:qFormat/>
    <w:uiPriority w:val="0"/>
    <w:pPr>
      <w:ind w:firstLine="480"/>
    </w:pPr>
  </w:style>
  <w:style w:type="character" w:customStyle="1" w:styleId="18">
    <w:name w:val="页脚 Char"/>
    <w:basedOn w:val="11"/>
    <w:link w:val="6"/>
    <w:qFormat/>
    <w:uiPriority w:val="0"/>
    <w:rPr>
      <w:rFonts w:asciiTheme="minorHAnsi" w:hAnsiTheme="minorHAnsi" w:eastAsiaTheme="minorEastAsia" w:cstheme="minorBidi"/>
      <w:kern w:val="2"/>
      <w:sz w:val="18"/>
      <w:szCs w:val="18"/>
    </w:rPr>
  </w:style>
  <w:style w:type="paragraph" w:customStyle="1" w:styleId="19">
    <w:name w:val="Default"/>
    <w:qFormat/>
    <w:uiPriority w:val="0"/>
    <w:pPr>
      <w:widowControl w:val="0"/>
      <w:autoSpaceDE w:val="0"/>
      <w:autoSpaceDN w:val="0"/>
      <w:adjustRightInd w:val="0"/>
    </w:pPr>
    <w:rPr>
      <w:rFonts w:ascii="宋体s..萀" w:hAnsi="Times New Roman" w:eastAsia="宋体s..萀" w:cs="宋体s..萀"/>
      <w:color w:val="000000"/>
      <w:sz w:val="24"/>
      <w:szCs w:val="24"/>
      <w:lang w:val="en-US" w:eastAsia="zh-CN" w:bidi="ar-SA"/>
    </w:rPr>
  </w:style>
  <w:style w:type="character" w:customStyle="1" w:styleId="20">
    <w:name w:val="Unresolved Mention"/>
    <w:basedOn w:val="11"/>
    <w:semiHidden/>
    <w:unhideWhenUsed/>
    <w:qFormat/>
    <w:uiPriority w:val="99"/>
    <w:rPr>
      <w:color w:val="605E5C"/>
      <w:shd w:val="clear" w:color="auto" w:fill="E1DFDD"/>
    </w:rPr>
  </w:style>
  <w:style w:type="character" w:customStyle="1" w:styleId="21">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517</Words>
  <Characters>2948</Characters>
  <Lines>24</Lines>
  <Paragraphs>6</Paragraphs>
  <TotalTime>6</TotalTime>
  <ScaleCrop>false</ScaleCrop>
  <LinksUpToDate>false</LinksUpToDate>
  <CharactersWithSpaces>3459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2025-04-19T16:21:00Z</dcterms:created>
  <dc:creator>popo</dc:creator>
  <cp:lastModifiedBy>suma</cp:lastModifiedBy>
  <cp:lastPrinted>2025-06-25T21:58:00Z</cp:lastPrinted>
  <dcterms:modified xsi:type="dcterms:W3CDTF">2025-08-26T17:41:38Z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BAAAEF5110404D76BCB83743F9ECFC78_13</vt:lpwstr>
  </property>
  <property fmtid="{D5CDD505-2E9C-101B-9397-08002B2CF9AE}" pid="4" name="KSOTemplateDocerSaveRecord">
    <vt:lpwstr>eyJoZGlkIjoiM2JmYzM1MTdjMGY1MzIwYzhmM2I2YTYzYjM4ODJjODAiLCJ1c2VySWQiOiIzNTI2MzE1NzAifQ==</vt:lpwstr>
  </property>
</Properties>
</file>